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4B" w:rsidRDefault="001E69C5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bookmarkStart w:id="0" w:name="_GoBack"/>
      <w:bookmarkEnd w:id="0"/>
      <w:r w:rsidRPr="00F25F4B">
        <w:rPr>
          <w:rFonts w:ascii="Times New Roman" w:hAnsi="Times New Roman"/>
          <w:b/>
          <w:bCs/>
          <w:color w:val="000000"/>
          <w:sz w:val="44"/>
          <w:szCs w:val="44"/>
        </w:rPr>
        <w:t>T.C.</w:t>
      </w:r>
    </w:p>
    <w:p w:rsidR="001E69C5" w:rsidRPr="00F25F4B" w:rsidRDefault="001E69C5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F25F4B">
        <w:rPr>
          <w:rFonts w:ascii="Times New Roman" w:hAnsi="Times New Roman"/>
          <w:b/>
          <w:bCs/>
          <w:color w:val="000000"/>
          <w:sz w:val="44"/>
          <w:szCs w:val="44"/>
        </w:rPr>
        <w:t>IĞDIR ÜNİVERSİTESİ</w:t>
      </w: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25F4B" w:rsidRDefault="00F25F4B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B46B4" w:rsidRPr="00F25F4B" w:rsidRDefault="0059680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1758950</wp:posOffset>
            </wp:positionH>
            <wp:positionV relativeFrom="paragraph">
              <wp:posOffset>153670</wp:posOffset>
            </wp:positionV>
            <wp:extent cx="2686050" cy="2381250"/>
            <wp:effectExtent l="19050" t="0" r="0" b="0"/>
            <wp:wrapNone/>
            <wp:docPr id="12" name="Resim 2" descr="ığdır üniversitesi 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ığdır üniversitesi s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25F4B" w:rsidRDefault="00F25F4B" w:rsidP="00BE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25F4B" w:rsidRDefault="00F25F4B" w:rsidP="00BE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25F4B" w:rsidRDefault="00F25F4B" w:rsidP="00BE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25F4B" w:rsidRDefault="00F25F4B" w:rsidP="00BE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25F4B" w:rsidRDefault="00F25F4B" w:rsidP="00BE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25F4B" w:rsidRDefault="00F25F4B" w:rsidP="00BE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25F4B" w:rsidRDefault="00F25F4B" w:rsidP="00BE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25F4B" w:rsidRDefault="00F25F4B" w:rsidP="00BE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25F4B" w:rsidRDefault="00F25F4B" w:rsidP="00BE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C597B" w:rsidRPr="00BA2BA9" w:rsidRDefault="006C597B" w:rsidP="00BE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F25F4B" w:rsidRPr="00BA2BA9" w:rsidRDefault="00F25F4B" w:rsidP="00BE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1E69C5" w:rsidRPr="00BA2BA9" w:rsidRDefault="00CB0212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BA2BA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2012</w:t>
      </w:r>
      <w:r w:rsidR="001E69C5" w:rsidRPr="00BA2BA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YILI</w:t>
      </w:r>
    </w:p>
    <w:p w:rsidR="001B46B4" w:rsidRPr="00BA2BA9" w:rsidRDefault="001B46B4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AC725B" w:rsidRPr="00BA2BA9" w:rsidRDefault="001E69C5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BA2BA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KURUMSAL MALİ DURUM</w:t>
      </w:r>
      <w:r w:rsidR="00AC725B" w:rsidRPr="00BA2BA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A2BA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VE</w:t>
      </w:r>
      <w:r w:rsidR="00AC725B" w:rsidRPr="00BA2BA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A2BA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BEKLENTİLER RAPORU</w:t>
      </w:r>
    </w:p>
    <w:p w:rsidR="00AC725B" w:rsidRPr="00BA2BA9" w:rsidRDefault="00AC725B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AC725B" w:rsidRPr="00BA2BA9" w:rsidRDefault="00AC725B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F25F4B" w:rsidRDefault="00F25F4B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C597B" w:rsidRDefault="006C597B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C597B" w:rsidRDefault="006C597B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A91AE3" w:rsidRDefault="00A91AE3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A91AE3" w:rsidRDefault="00A91AE3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C597B" w:rsidRPr="00BA2BA9" w:rsidRDefault="006C597B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F25F4B" w:rsidRPr="00BA2BA9" w:rsidRDefault="00F25F4B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F25F4B" w:rsidRPr="00BA2BA9" w:rsidRDefault="00F25F4B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1B46B4" w:rsidRPr="00BA2BA9" w:rsidRDefault="00C51FDC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BA2BA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TEMMUZ </w:t>
      </w:r>
      <w:r w:rsidR="00CB0212" w:rsidRPr="00BA2BA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2012</w:t>
      </w:r>
    </w:p>
    <w:p w:rsidR="001B46B4" w:rsidRPr="00BA2BA9" w:rsidRDefault="001E69C5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BA2BA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STRATEJİ GELİŞTİRME DAİRE BAŞKANLIĞI</w:t>
      </w:r>
    </w:p>
    <w:p w:rsidR="00AC725B" w:rsidRDefault="00AC725B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C597B" w:rsidRDefault="006C597B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C597B" w:rsidRDefault="006C597B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E521EA" w:rsidRPr="00BA2BA9" w:rsidRDefault="00E521EA" w:rsidP="0087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A91AE3" w:rsidRDefault="00567B4D" w:rsidP="00A91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BA2BA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 Ğ D I R</w:t>
      </w:r>
    </w:p>
    <w:p w:rsidR="0042413D" w:rsidRDefault="0042413D" w:rsidP="00A91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2413D" w:rsidRDefault="0042413D" w:rsidP="00A91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2413D" w:rsidRPr="00A91AE3" w:rsidRDefault="0042413D" w:rsidP="00A91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1E69C5" w:rsidRPr="00F25F4B" w:rsidRDefault="001E69C5" w:rsidP="0013247F">
      <w:pPr>
        <w:pStyle w:val="Balk1"/>
      </w:pPr>
      <w:r w:rsidRPr="00F25F4B">
        <w:lastRenderedPageBreak/>
        <w:t>GİRİŞ</w:t>
      </w:r>
    </w:p>
    <w:p w:rsidR="001B46B4" w:rsidRPr="00F25F4B" w:rsidRDefault="001B46B4" w:rsidP="003132F9">
      <w:pPr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1E69C5" w:rsidP="003132F9">
      <w:pPr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5018 sayılı Kamu Mali Yönetimi ve Kontrol</w:t>
      </w:r>
      <w:r w:rsidR="00C72CF4">
        <w:rPr>
          <w:rFonts w:ascii="Times New Roman" w:hAnsi="Times New Roman"/>
          <w:color w:val="000000"/>
          <w:sz w:val="24"/>
          <w:szCs w:val="24"/>
        </w:rPr>
        <w:t xml:space="preserve"> Kanununun 30 uncu maddesinde, G</w:t>
      </w:r>
      <w:r w:rsidRPr="00F25F4B">
        <w:rPr>
          <w:rFonts w:ascii="Times New Roman" w:hAnsi="Times New Roman"/>
          <w:color w:val="000000"/>
          <w:sz w:val="24"/>
          <w:szCs w:val="24"/>
        </w:rPr>
        <w:t>enel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Yönetim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kapsamındaki idarelerin, ilk altı aylık bütçe uygulama sonuçları, ikinci altı aya ilişkin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beklentiler ve hedefler ile faaliyetlerini Temmuz ayı içinde kamuoyuna açıklayacakları hükme</w:t>
      </w:r>
      <w:r w:rsidR="00C72CF4">
        <w:rPr>
          <w:rFonts w:ascii="Times New Roman" w:hAnsi="Times New Roman"/>
          <w:color w:val="000000"/>
          <w:sz w:val="24"/>
          <w:szCs w:val="24"/>
        </w:rPr>
        <w:t xml:space="preserve"> b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>ağlanmıştır</w:t>
      </w:r>
      <w:r w:rsidRPr="00F25F4B">
        <w:rPr>
          <w:rFonts w:ascii="Times New Roman" w:hAnsi="Times New Roman"/>
          <w:color w:val="000000"/>
          <w:sz w:val="24"/>
          <w:szCs w:val="24"/>
        </w:rPr>
        <w:t>.</w:t>
      </w:r>
    </w:p>
    <w:p w:rsidR="003132F9" w:rsidRPr="00F25F4B" w:rsidRDefault="003132F9" w:rsidP="003132F9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1E69C5" w:rsidP="003132F9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Söz konusu düzenleme ile, kamu hizmetlerinin yürütülmesinde ve bütçe uygulamalarında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5668" w:rsidRPr="00F25F4B">
        <w:rPr>
          <w:rFonts w:ascii="Times New Roman" w:hAnsi="Times New Roman"/>
          <w:color w:val="000000"/>
          <w:sz w:val="24"/>
          <w:szCs w:val="24"/>
        </w:rPr>
        <w:t>Saydamlığın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ve hesap verilebilirliğin arttırılması ve kamuoyunun kamu idareleri üzerindeki genel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5668" w:rsidRPr="00F25F4B">
        <w:rPr>
          <w:rFonts w:ascii="Times New Roman" w:hAnsi="Times New Roman"/>
          <w:color w:val="000000"/>
          <w:sz w:val="24"/>
          <w:szCs w:val="24"/>
        </w:rPr>
        <w:t>Denetim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ve gözetim fonksiyonunun gereği şekilde gerçekleştirilmesinin sağlanması</w:t>
      </w:r>
      <w:r w:rsidR="00E1410D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>a</w:t>
      </w:r>
      <w:r w:rsidR="00DB5668" w:rsidRPr="00F25F4B">
        <w:rPr>
          <w:rFonts w:ascii="Times New Roman" w:hAnsi="Times New Roman"/>
          <w:color w:val="000000"/>
          <w:sz w:val="24"/>
          <w:szCs w:val="24"/>
        </w:rPr>
        <w:t>maçlanmıştır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3602" w:rsidRPr="00F25F4B">
        <w:rPr>
          <w:rFonts w:ascii="Times New Roman" w:hAnsi="Times New Roman"/>
          <w:color w:val="000000"/>
          <w:sz w:val="24"/>
          <w:szCs w:val="24"/>
        </w:rPr>
        <w:t>5</w:t>
      </w:r>
      <w:r w:rsidRPr="00F25F4B">
        <w:rPr>
          <w:rFonts w:ascii="Times New Roman" w:hAnsi="Times New Roman"/>
          <w:color w:val="000000"/>
          <w:sz w:val="24"/>
          <w:szCs w:val="24"/>
        </w:rPr>
        <w:t>018 sayılı Kamu Mali Yönetimi ve Kontrol Kanununda bütçe; belirli</w:t>
      </w:r>
      <w:r w:rsidR="00E1410D" w:rsidRPr="00F25F4B">
        <w:rPr>
          <w:rFonts w:ascii="Times New Roman" w:hAnsi="Times New Roman"/>
          <w:color w:val="000000"/>
          <w:sz w:val="24"/>
          <w:szCs w:val="24"/>
        </w:rPr>
        <w:t xml:space="preserve"> bir dönemdeki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gelir ve gider tahminleri ile bunların uygulanmasına ilişkin hususları gösteren ve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u</w:t>
      </w:r>
      <w:r w:rsidR="00DB5668" w:rsidRPr="00F25F4B">
        <w:rPr>
          <w:rFonts w:ascii="Times New Roman" w:hAnsi="Times New Roman"/>
          <w:color w:val="000000"/>
          <w:sz w:val="24"/>
          <w:szCs w:val="24"/>
        </w:rPr>
        <w:t>sulüne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uygun olarak yürürlüğe konulan belge olarak tanımlanmıştır. Aynı kanuna göre</w:t>
      </w:r>
      <w:r w:rsidR="00E1410D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5668" w:rsidRPr="00F25F4B">
        <w:rPr>
          <w:rFonts w:ascii="Times New Roman" w:hAnsi="Times New Roman"/>
          <w:color w:val="000000"/>
          <w:sz w:val="24"/>
          <w:szCs w:val="24"/>
        </w:rPr>
        <w:t>Bütçe</w:t>
      </w:r>
      <w:r w:rsidR="00C72CF4">
        <w:rPr>
          <w:rFonts w:ascii="Times New Roman" w:hAnsi="Times New Roman"/>
          <w:color w:val="000000"/>
          <w:sz w:val="24"/>
          <w:szCs w:val="24"/>
        </w:rPr>
        <w:t>, Merkezi Yönetim B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ütçesi, </w:t>
      </w:r>
      <w:r w:rsidR="00C72CF4">
        <w:rPr>
          <w:rFonts w:ascii="Times New Roman" w:hAnsi="Times New Roman"/>
          <w:color w:val="000000"/>
          <w:sz w:val="24"/>
          <w:szCs w:val="24"/>
        </w:rPr>
        <w:t>G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enel </w:t>
      </w:r>
      <w:r w:rsidR="00C72CF4">
        <w:rPr>
          <w:rFonts w:ascii="Times New Roman" w:hAnsi="Times New Roman"/>
          <w:color w:val="000000"/>
          <w:sz w:val="24"/>
          <w:szCs w:val="24"/>
        </w:rPr>
        <w:t>Bütçe, Özel B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ütçe ile </w:t>
      </w:r>
      <w:r w:rsidR="00C72CF4">
        <w:rPr>
          <w:rFonts w:ascii="Times New Roman" w:hAnsi="Times New Roman"/>
          <w:color w:val="000000"/>
          <w:sz w:val="24"/>
          <w:szCs w:val="24"/>
        </w:rPr>
        <w:t>Düzenleyici ve D</w:t>
      </w:r>
      <w:r w:rsidRPr="00F25F4B">
        <w:rPr>
          <w:rFonts w:ascii="Times New Roman" w:hAnsi="Times New Roman"/>
          <w:color w:val="000000"/>
          <w:sz w:val="24"/>
          <w:szCs w:val="24"/>
        </w:rPr>
        <w:t>enetleyici</w:t>
      </w:r>
      <w:r w:rsidR="00E1410D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2CF4">
        <w:rPr>
          <w:rFonts w:ascii="Times New Roman" w:hAnsi="Times New Roman"/>
          <w:color w:val="000000"/>
          <w:sz w:val="24"/>
          <w:szCs w:val="24"/>
        </w:rPr>
        <w:t>K</w:t>
      </w:r>
      <w:r w:rsidRPr="00F25F4B">
        <w:rPr>
          <w:rFonts w:ascii="Times New Roman" w:hAnsi="Times New Roman"/>
          <w:color w:val="000000"/>
          <w:sz w:val="24"/>
          <w:szCs w:val="24"/>
        </w:rPr>
        <w:t>urum bütçelerinden olu</w:t>
      </w:r>
      <w:r w:rsidR="00C72CF4">
        <w:rPr>
          <w:rFonts w:ascii="Times New Roman" w:hAnsi="Times New Roman"/>
          <w:color w:val="000000"/>
          <w:sz w:val="24"/>
          <w:szCs w:val="24"/>
        </w:rPr>
        <w:t>şmaktadır. 5018 sayılı Kanunda Yükseköğretim kurumları Ö</w:t>
      </w:r>
      <w:r w:rsidRPr="00F25F4B">
        <w:rPr>
          <w:rFonts w:ascii="Times New Roman" w:hAnsi="Times New Roman"/>
          <w:color w:val="000000"/>
          <w:sz w:val="24"/>
          <w:szCs w:val="24"/>
        </w:rPr>
        <w:t>zel</w:t>
      </w:r>
      <w:r w:rsidR="00E1410D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2CF4">
        <w:rPr>
          <w:rFonts w:ascii="Times New Roman" w:hAnsi="Times New Roman"/>
          <w:color w:val="000000"/>
          <w:sz w:val="24"/>
          <w:szCs w:val="24"/>
        </w:rPr>
        <w:t>B</w:t>
      </w:r>
      <w:r w:rsidRPr="00F25F4B">
        <w:rPr>
          <w:rFonts w:ascii="Times New Roman" w:hAnsi="Times New Roman"/>
          <w:color w:val="000000"/>
          <w:sz w:val="24"/>
          <w:szCs w:val="24"/>
        </w:rPr>
        <w:t>ütçeli idareler olarak sayılmaktadır.</w:t>
      </w:r>
    </w:p>
    <w:p w:rsidR="003132F9" w:rsidRPr="00F25F4B" w:rsidRDefault="003132F9" w:rsidP="003132F9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C72CF4" w:rsidP="0031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 amaç doğrultusunda, Ö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zel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>ütçe kapsamındaki kamu idareleri arasında yer alan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1FDC" w:rsidRPr="00F25F4B">
        <w:rPr>
          <w:rFonts w:ascii="Times New Roman" w:hAnsi="Times New Roman"/>
          <w:color w:val="000000"/>
          <w:sz w:val="24"/>
          <w:szCs w:val="24"/>
        </w:rPr>
        <w:t xml:space="preserve">Üniversitemizin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 ilk altı aylık dönemine ilişkin bütçe uygulamaları ile ikinci altı aya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>ilişkin beklenti, hedef ve faaliyetlerin yer aldığı “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 Kurumsal Mali Durum ve Beklentiler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Raporu” Strateji Geliştirme Daire Başkanlığımızca hazırlanarak, 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>kamuoyunun bilgisine sunulmuştur.</w:t>
      </w:r>
    </w:p>
    <w:p w:rsidR="00DB5668" w:rsidRPr="00F25F4B" w:rsidRDefault="00DB5668" w:rsidP="0031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5668" w:rsidRPr="00F25F4B" w:rsidRDefault="00DB5668" w:rsidP="00E14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5668" w:rsidRPr="00F25F4B" w:rsidRDefault="00DB566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B5668" w:rsidRPr="00F25F4B" w:rsidRDefault="0007348B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</w:t>
      </w:r>
      <w:r w:rsidR="003F776B">
        <w:rPr>
          <w:rFonts w:ascii="Times New Roman" w:hAnsi="Times New Roman"/>
          <w:color w:val="000000"/>
          <w:sz w:val="24"/>
          <w:szCs w:val="24"/>
        </w:rPr>
        <w:t>.../</w:t>
      </w:r>
      <w:r w:rsidRPr="00F25F4B">
        <w:rPr>
          <w:rFonts w:ascii="Times New Roman" w:hAnsi="Times New Roman"/>
          <w:color w:val="000000"/>
          <w:sz w:val="24"/>
          <w:szCs w:val="24"/>
        </w:rPr>
        <w:t>07</w:t>
      </w:r>
      <w:r w:rsidR="003F776B">
        <w:rPr>
          <w:rFonts w:ascii="Times New Roman" w:hAnsi="Times New Roman"/>
          <w:color w:val="000000"/>
          <w:sz w:val="24"/>
          <w:szCs w:val="24"/>
        </w:rPr>
        <w:t>/</w:t>
      </w:r>
      <w:r w:rsidRPr="00F25F4B">
        <w:rPr>
          <w:rFonts w:ascii="Times New Roman" w:hAnsi="Times New Roman"/>
          <w:color w:val="000000"/>
          <w:sz w:val="24"/>
          <w:szCs w:val="24"/>
        </w:rPr>
        <w:t>2012</w:t>
      </w:r>
    </w:p>
    <w:p w:rsidR="0007348B" w:rsidRPr="00F25F4B" w:rsidRDefault="0007348B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348B" w:rsidRPr="00F25F4B" w:rsidRDefault="0007348B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Prof.Dr İbrahim Hakkı YILMAZ </w:t>
      </w:r>
    </w:p>
    <w:p w:rsidR="0007348B" w:rsidRPr="00F25F4B" w:rsidRDefault="0007348B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  <w:t xml:space="preserve">                 Rektör</w:t>
      </w:r>
    </w:p>
    <w:p w:rsidR="00DB5668" w:rsidRPr="00F25F4B" w:rsidRDefault="00DB566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B5668" w:rsidRPr="00F25F4B" w:rsidRDefault="00DB566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B5668" w:rsidRPr="00F25F4B" w:rsidRDefault="00DB566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B5668" w:rsidRPr="00F25F4B" w:rsidRDefault="00DB566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B5668" w:rsidRPr="00F25F4B" w:rsidRDefault="00DB566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B5668" w:rsidRPr="00F25F4B" w:rsidRDefault="00DB566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B5668" w:rsidRPr="00F25F4B" w:rsidRDefault="00DB566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46B4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3247F" w:rsidRDefault="0013247F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3247F" w:rsidRDefault="0013247F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3247F" w:rsidRDefault="0013247F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3247F" w:rsidRDefault="0013247F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46B4" w:rsidRPr="00F25F4B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46B4" w:rsidRDefault="001B46B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B6E82" w:rsidRDefault="00DB6E82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B6E82" w:rsidRDefault="00DB6E82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69C5" w:rsidRDefault="003F776B" w:rsidP="0013247F">
      <w:pPr>
        <w:pStyle w:val="Balk1"/>
      </w:pPr>
      <w:r>
        <w:t xml:space="preserve">                </w:t>
      </w:r>
      <w:r w:rsidR="00CB0212" w:rsidRPr="00F25F4B">
        <w:t>2012</w:t>
      </w:r>
      <w:r w:rsidR="001E69C5" w:rsidRPr="00F25F4B">
        <w:t xml:space="preserve"> YILI KURUMSAL MALİ DURUM VE BEKLENTİLER RAPORU</w:t>
      </w:r>
    </w:p>
    <w:p w:rsidR="00C1416B" w:rsidRPr="00F25F4B" w:rsidRDefault="00C1416B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587424" w:rsidRPr="00F25F4B" w:rsidRDefault="0058742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E69C5" w:rsidRPr="00F25F4B" w:rsidRDefault="001E69C5" w:rsidP="00E1410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5944 Sayılı </w:t>
      </w:r>
      <w:r w:rsidR="00134A96">
        <w:rPr>
          <w:rFonts w:ascii="Times New Roman" w:hAnsi="Times New Roman"/>
          <w:color w:val="000000"/>
          <w:sz w:val="24"/>
          <w:szCs w:val="24"/>
        </w:rPr>
        <w:t>201</w:t>
      </w:r>
      <w:r w:rsidR="003F776B">
        <w:rPr>
          <w:rFonts w:ascii="Times New Roman" w:hAnsi="Times New Roman"/>
          <w:color w:val="000000"/>
          <w:sz w:val="24"/>
          <w:szCs w:val="24"/>
        </w:rPr>
        <w:t>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 Merkezi Yönetim Bütçe Kanunu 25.12.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</w:t>
      </w:r>
      <w:r w:rsidR="00134A96">
        <w:rPr>
          <w:rFonts w:ascii="Times New Roman" w:hAnsi="Times New Roman"/>
          <w:color w:val="000000"/>
          <w:sz w:val="24"/>
          <w:szCs w:val="24"/>
        </w:rPr>
        <w:t>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tarihinde TBMM’de</w:t>
      </w:r>
      <w:r w:rsidR="00E1410D" w:rsidRPr="00F25F4B">
        <w:rPr>
          <w:rFonts w:ascii="Times New Roman" w:hAnsi="Times New Roman"/>
          <w:color w:val="000000"/>
          <w:sz w:val="24"/>
          <w:szCs w:val="24"/>
        </w:rPr>
        <w:t xml:space="preserve"> kabul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edilerek 31 Aralık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</w:t>
      </w:r>
      <w:r w:rsidR="00B94DDC">
        <w:rPr>
          <w:rFonts w:ascii="Times New Roman" w:hAnsi="Times New Roman"/>
          <w:color w:val="000000"/>
          <w:sz w:val="24"/>
          <w:szCs w:val="24"/>
        </w:rPr>
        <w:t>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tarih ve 27449 Mükerrer sayılı Resmi Gazetede 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>yayınlanarak 01</w:t>
      </w:r>
      <w:r w:rsidRPr="00F25F4B">
        <w:rPr>
          <w:rFonts w:ascii="Times New Roman" w:hAnsi="Times New Roman"/>
          <w:color w:val="000000"/>
          <w:sz w:val="24"/>
          <w:szCs w:val="24"/>
        </w:rPr>
        <w:t>.01.</w:t>
      </w:r>
      <w:r w:rsidR="00134A96">
        <w:rPr>
          <w:rFonts w:ascii="Times New Roman" w:hAnsi="Times New Roman"/>
          <w:color w:val="000000"/>
          <w:sz w:val="24"/>
          <w:szCs w:val="24"/>
        </w:rPr>
        <w:t>201</w:t>
      </w:r>
      <w:r w:rsidR="003F776B">
        <w:rPr>
          <w:rFonts w:ascii="Times New Roman" w:hAnsi="Times New Roman"/>
          <w:color w:val="000000"/>
          <w:sz w:val="24"/>
          <w:szCs w:val="24"/>
        </w:rPr>
        <w:t>2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t</w:t>
      </w:r>
      <w:r w:rsidRPr="00F25F4B">
        <w:rPr>
          <w:rFonts w:ascii="Times New Roman" w:hAnsi="Times New Roman"/>
          <w:color w:val="000000"/>
          <w:sz w:val="24"/>
          <w:szCs w:val="24"/>
        </w:rPr>
        <w:t>arihinden itibaren yürürlüğe girmiştir.</w:t>
      </w:r>
    </w:p>
    <w:p w:rsidR="00587424" w:rsidRPr="00F25F4B" w:rsidRDefault="0058742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C14CA" w:rsidRDefault="001E69C5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Söz konusu kanun ile Üniversitemiz</w:t>
      </w:r>
      <w:r w:rsidR="004B209A" w:rsidRPr="00F25F4B">
        <w:rPr>
          <w:rFonts w:ascii="Times New Roman" w:hAnsi="Times New Roman"/>
          <w:color w:val="000000"/>
          <w:sz w:val="24"/>
          <w:szCs w:val="24"/>
        </w:rPr>
        <w:t xml:space="preserve">e, </w:t>
      </w:r>
      <w:r w:rsidR="00472942">
        <w:rPr>
          <w:rFonts w:ascii="Times New Roman" w:hAnsi="Times New Roman"/>
          <w:color w:val="000000"/>
          <w:sz w:val="24"/>
          <w:szCs w:val="24"/>
        </w:rPr>
        <w:t xml:space="preserve">2012 yılı için 37.124.000,00 </w:t>
      </w:r>
      <w:r w:rsidR="008A58DE">
        <w:rPr>
          <w:rFonts w:ascii="Times New Roman" w:hAnsi="Times New Roman"/>
          <w:color w:val="000000"/>
          <w:sz w:val="24"/>
          <w:szCs w:val="24"/>
        </w:rPr>
        <w:t xml:space="preserve">TL ödenek tahsis edilmiş olup, </w:t>
      </w:r>
      <w:r w:rsidR="00472942">
        <w:rPr>
          <w:rFonts w:ascii="Times New Roman" w:hAnsi="Times New Roman"/>
          <w:color w:val="000000"/>
          <w:sz w:val="24"/>
          <w:szCs w:val="24"/>
        </w:rPr>
        <w:t xml:space="preserve">ilk 6 aylık dönemde bu ödeneğin </w:t>
      </w:r>
      <w:r w:rsidR="005756BD">
        <w:rPr>
          <w:rFonts w:ascii="Times New Roman" w:hAnsi="Times New Roman"/>
          <w:color w:val="000000"/>
          <w:sz w:val="24"/>
          <w:szCs w:val="24"/>
        </w:rPr>
        <w:t>37.124.000,00</w:t>
      </w:r>
      <w:r w:rsidR="00472942">
        <w:rPr>
          <w:rFonts w:ascii="Times New Roman" w:hAnsi="Times New Roman"/>
          <w:color w:val="000000"/>
          <w:sz w:val="24"/>
          <w:szCs w:val="24"/>
        </w:rPr>
        <w:t xml:space="preserve"> TL’si serbest bırakılmış ve 18.099.862,93 TL’si harcanmıştır.</w:t>
      </w:r>
    </w:p>
    <w:p w:rsidR="001F056F" w:rsidRDefault="00596808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tr-TR"/>
        </w:rPr>
        <w:drawing>
          <wp:anchor distT="146304" distB="102489" distL="480060" distR="355092" simplePos="0" relativeHeight="251654656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139065</wp:posOffset>
            </wp:positionV>
            <wp:extent cx="3735070" cy="2847975"/>
            <wp:effectExtent l="0" t="0" r="635" b="0"/>
            <wp:wrapNone/>
            <wp:docPr id="11" name="Nesnesi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76D8" w:rsidRDefault="004876D8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76D8" w:rsidRDefault="004876D8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76D8" w:rsidRDefault="004876D8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76D8" w:rsidRDefault="004876D8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76D8" w:rsidRDefault="004876D8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76D8" w:rsidRDefault="004876D8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4CA" w:rsidRDefault="007C14CA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4CA" w:rsidRDefault="007C14CA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56F" w:rsidRDefault="001F056F" w:rsidP="001F056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right" w:tblpY="176"/>
        <w:tblW w:w="376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796"/>
        <w:gridCol w:w="1964"/>
      </w:tblGrid>
      <w:tr w:rsidR="00ED18B3" w:rsidRPr="00B94DDC" w:rsidTr="00ED18B3">
        <w:trPr>
          <w:trHeight w:val="354"/>
        </w:trPr>
        <w:tc>
          <w:tcPr>
            <w:tcW w:w="179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:rsidR="00ED18B3" w:rsidRPr="00B94DDC" w:rsidRDefault="00ED18B3" w:rsidP="00ED1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</w:rPr>
              <w:t xml:space="preserve">Toplam Ödenek </w:t>
            </w:r>
          </w:p>
        </w:tc>
        <w:tc>
          <w:tcPr>
            <w:tcW w:w="196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:rsidR="00ED18B3" w:rsidRPr="00B94DDC" w:rsidRDefault="00ED18B3" w:rsidP="00ED1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</w:rPr>
              <w:t>37.124.000</w:t>
            </w:r>
            <w:r w:rsidRPr="00B94DDC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,00  </w:t>
            </w:r>
          </w:p>
        </w:tc>
      </w:tr>
      <w:tr w:rsidR="00ED18B3" w:rsidRPr="00B94DDC" w:rsidTr="00ED18B3">
        <w:trPr>
          <w:trHeight w:val="354"/>
        </w:trPr>
        <w:tc>
          <w:tcPr>
            <w:tcW w:w="1796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ED18B3" w:rsidRPr="00B94DDC" w:rsidRDefault="00ED18B3" w:rsidP="00ED1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</w:rPr>
              <w:t xml:space="preserve">Harcanan </w:t>
            </w:r>
          </w:p>
        </w:tc>
        <w:tc>
          <w:tcPr>
            <w:tcW w:w="1964" w:type="dxa"/>
            <w:tcBorders>
              <w:left w:val="nil"/>
              <w:right w:val="nil"/>
            </w:tcBorders>
            <w:shd w:val="clear" w:color="auto" w:fill="D3DFEE"/>
            <w:vAlign w:val="center"/>
            <w:hideMark/>
          </w:tcPr>
          <w:p w:rsidR="00ED18B3" w:rsidRPr="00B94DDC" w:rsidRDefault="00ED18B3" w:rsidP="00ED1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 xml:space="preserve">18.099.862,93 </w:t>
            </w:r>
          </w:p>
        </w:tc>
      </w:tr>
      <w:tr w:rsidR="00ED18B3" w:rsidRPr="00B94DDC" w:rsidTr="00ED18B3">
        <w:trPr>
          <w:trHeight w:val="354"/>
        </w:trPr>
        <w:tc>
          <w:tcPr>
            <w:tcW w:w="1796" w:type="dxa"/>
            <w:hideMark/>
          </w:tcPr>
          <w:p w:rsidR="00ED18B3" w:rsidRPr="00B94DDC" w:rsidRDefault="00ED18B3" w:rsidP="00ED1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</w:rPr>
              <w:t xml:space="preserve">Kalan </w:t>
            </w:r>
          </w:p>
        </w:tc>
        <w:tc>
          <w:tcPr>
            <w:tcW w:w="1964" w:type="dxa"/>
            <w:vAlign w:val="center"/>
            <w:hideMark/>
          </w:tcPr>
          <w:p w:rsidR="00ED18B3" w:rsidRPr="00B94DDC" w:rsidRDefault="00ED18B3" w:rsidP="00ED1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10.126.246,97</w:t>
            </w:r>
          </w:p>
        </w:tc>
      </w:tr>
      <w:tr w:rsidR="00ED18B3" w:rsidRPr="00B94DDC" w:rsidTr="00ED18B3">
        <w:trPr>
          <w:trHeight w:val="354"/>
        </w:trPr>
        <w:tc>
          <w:tcPr>
            <w:tcW w:w="1796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ED18B3" w:rsidRPr="00B94DDC" w:rsidRDefault="00ED18B3" w:rsidP="00ED1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</w:rPr>
              <w:t>Gerçekleşme</w:t>
            </w:r>
          </w:p>
          <w:p w:rsidR="00ED18B3" w:rsidRPr="00B94DDC" w:rsidRDefault="00ED18B3" w:rsidP="00ED1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</w:rPr>
              <w:t>Oranı</w:t>
            </w:r>
          </w:p>
        </w:tc>
        <w:tc>
          <w:tcPr>
            <w:tcW w:w="1964" w:type="dxa"/>
            <w:tcBorders>
              <w:left w:val="nil"/>
              <w:right w:val="nil"/>
            </w:tcBorders>
            <w:shd w:val="clear" w:color="auto" w:fill="D3DFEE"/>
            <w:vAlign w:val="center"/>
            <w:hideMark/>
          </w:tcPr>
          <w:p w:rsidR="00ED18B3" w:rsidRPr="00B94DDC" w:rsidRDefault="00ED18B3" w:rsidP="00ED1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%49</w:t>
            </w:r>
          </w:p>
        </w:tc>
      </w:tr>
    </w:tbl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56F" w:rsidRDefault="001F056F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3FB7" w:rsidRDefault="004A3FB7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4CA" w:rsidRDefault="007C14CA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3FB7" w:rsidRPr="004A3FB7" w:rsidRDefault="00EC759B" w:rsidP="004A3FB7">
      <w:pPr>
        <w:pStyle w:val="ResimYazs"/>
        <w:keepNext/>
        <w:shd w:val="clear" w:color="auto" w:fill="FFFFFF"/>
        <w:spacing w:after="0"/>
        <w:ind w:firstLine="357"/>
        <w:jc w:val="both"/>
        <w:outlineLvl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2012</w:t>
      </w:r>
      <w:r w:rsidR="004A3FB7" w:rsidRPr="004A3FB7">
        <w:rPr>
          <w:rFonts w:ascii="Times New Roman" w:hAnsi="Times New Roman"/>
          <w:color w:val="000000"/>
          <w:sz w:val="22"/>
          <w:szCs w:val="22"/>
        </w:rPr>
        <w:t xml:space="preserve"> Mali Yılı Bütçesi</w:t>
      </w:r>
      <w:r>
        <w:rPr>
          <w:rFonts w:ascii="Times New Roman" w:hAnsi="Times New Roman"/>
          <w:color w:val="000000"/>
          <w:sz w:val="22"/>
          <w:szCs w:val="22"/>
        </w:rPr>
        <w:t xml:space="preserve"> İlk 6 Aylık</w:t>
      </w:r>
      <w:r w:rsidR="004A3FB7" w:rsidRPr="004A3FB7">
        <w:rPr>
          <w:rFonts w:ascii="Times New Roman" w:hAnsi="Times New Roman"/>
          <w:color w:val="000000"/>
          <w:sz w:val="22"/>
          <w:szCs w:val="22"/>
        </w:rPr>
        <w:t xml:space="preserve"> Ödeneklerinin ve Gerçekleşmelerinin Fonksiyonel Dağılımı</w:t>
      </w:r>
    </w:p>
    <w:p w:rsidR="007C14CA" w:rsidRDefault="007C14CA" w:rsidP="004A3F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4"/>
        <w:tblW w:w="4767" w:type="pct"/>
        <w:tblBorders>
          <w:top w:val="thickThinSmallGap" w:sz="24" w:space="0" w:color="548DD4"/>
          <w:left w:val="thickThinSmallGap" w:sz="24" w:space="0" w:color="548DD4"/>
          <w:bottom w:val="thickThinSmallGap" w:sz="24" w:space="0" w:color="548DD4"/>
          <w:right w:val="thickThinSmallGap" w:sz="2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058"/>
        <w:gridCol w:w="1460"/>
        <w:gridCol w:w="1541"/>
        <w:gridCol w:w="1417"/>
        <w:gridCol w:w="1418"/>
      </w:tblGrid>
      <w:tr w:rsidR="00434982" w:rsidRPr="00B94DDC" w:rsidTr="00434982">
        <w:trPr>
          <w:trHeight w:val="767"/>
        </w:trPr>
        <w:tc>
          <w:tcPr>
            <w:tcW w:w="1906" w:type="pct"/>
            <w:gridSpan w:val="2"/>
            <w:shd w:val="clear" w:color="auto" w:fill="8DB3E2"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TERTİP</w:t>
            </w:r>
          </w:p>
        </w:tc>
        <w:tc>
          <w:tcPr>
            <w:tcW w:w="774" w:type="pct"/>
            <w:shd w:val="clear" w:color="auto" w:fill="8DB3E2"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94DDC">
              <w:rPr>
                <w:rFonts w:ascii="Times New Roman" w:hAnsi="Times New Roman"/>
                <w:b/>
                <w:bCs/>
                <w:sz w:val="14"/>
                <w:szCs w:val="14"/>
              </w:rPr>
              <w:t>ÖDENEK GÖNDERME</w:t>
            </w:r>
          </w:p>
        </w:tc>
        <w:tc>
          <w:tcPr>
            <w:tcW w:w="817" w:type="pct"/>
            <w:shd w:val="clear" w:color="auto" w:fill="8DB3E2"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94DDC">
              <w:rPr>
                <w:rFonts w:ascii="Times New Roman" w:hAnsi="Times New Roman"/>
                <w:b/>
                <w:bCs/>
                <w:sz w:val="14"/>
                <w:szCs w:val="14"/>
              </w:rPr>
              <w:t>TOPLAM ÖDENEK GÖN.</w:t>
            </w:r>
          </w:p>
        </w:tc>
        <w:tc>
          <w:tcPr>
            <w:tcW w:w="751" w:type="pct"/>
            <w:shd w:val="clear" w:color="auto" w:fill="8DB3E2"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94DDC">
              <w:rPr>
                <w:rFonts w:ascii="Times New Roman" w:hAnsi="Times New Roman"/>
                <w:b/>
                <w:bCs/>
                <w:sz w:val="14"/>
                <w:szCs w:val="14"/>
              </w:rPr>
              <w:t>HARCAMA</w:t>
            </w:r>
          </w:p>
        </w:tc>
        <w:tc>
          <w:tcPr>
            <w:tcW w:w="752" w:type="pct"/>
            <w:shd w:val="clear" w:color="auto" w:fill="8DB3E2"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94DDC">
              <w:rPr>
                <w:rFonts w:ascii="Times New Roman" w:hAnsi="Times New Roman"/>
                <w:b/>
                <w:bCs/>
                <w:sz w:val="14"/>
                <w:szCs w:val="14"/>
              </w:rPr>
              <w:t>GERÇEKLEŞME</w:t>
            </w:r>
          </w:p>
        </w:tc>
      </w:tr>
      <w:tr w:rsidR="00434982" w:rsidRPr="00B94DDC" w:rsidTr="00434982">
        <w:trPr>
          <w:trHeight w:val="230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21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GENEL KAMU HİZMETLERİ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2.514.000,00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2.514.000,00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1.724.883,61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A3FB7" w:rsidRPr="00B94DDC" w:rsidRDefault="00434982" w:rsidP="0043498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sz w:val="20"/>
                <w:szCs w:val="20"/>
              </w:rPr>
              <w:t>%68</w:t>
            </w:r>
          </w:p>
        </w:tc>
      </w:tr>
      <w:tr w:rsidR="00434982" w:rsidRPr="00B94DDC" w:rsidTr="00434982">
        <w:trPr>
          <w:trHeight w:val="230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621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SAVUNMA HİZMETLERİ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37.800,00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37.8000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A3FB7" w:rsidRPr="00B94DDC" w:rsidRDefault="00434982" w:rsidP="0043498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sz w:val="20"/>
                <w:szCs w:val="20"/>
              </w:rPr>
              <w:t>%0</w:t>
            </w:r>
          </w:p>
        </w:tc>
      </w:tr>
      <w:tr w:rsidR="00434982" w:rsidRPr="00B94DDC" w:rsidTr="00434982">
        <w:trPr>
          <w:trHeight w:val="230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621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KAMU DÜZENİ VE GÜVENLİK HİZMETLERİ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804.400,00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804.400,00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276.842,16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A3FB7" w:rsidRPr="00B94DDC" w:rsidRDefault="00434982" w:rsidP="0043498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 w:rsidR="008918A4" w:rsidRPr="00B94DDC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</w:tr>
      <w:tr w:rsidR="00434982" w:rsidRPr="00B94DDC" w:rsidTr="00434982">
        <w:trPr>
          <w:trHeight w:val="230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621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DİNLENME KÜLTÜR VE DİN HİZMETLERİ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4A3FB7" w:rsidRPr="00B94DDC" w:rsidRDefault="00434982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254.900,00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4A3FB7" w:rsidRPr="00B94DDC" w:rsidRDefault="00434982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254.900,00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:rsidR="004A3FB7" w:rsidRPr="00B94DDC" w:rsidRDefault="00434982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142.259,89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A3FB7" w:rsidRPr="00B94DDC" w:rsidRDefault="008918A4" w:rsidP="0043498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sz w:val="20"/>
                <w:szCs w:val="20"/>
              </w:rPr>
              <w:t>%55</w:t>
            </w:r>
          </w:p>
        </w:tc>
      </w:tr>
      <w:tr w:rsidR="00434982" w:rsidRPr="00B94DDC" w:rsidTr="00434982">
        <w:trPr>
          <w:trHeight w:val="243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621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EĞİTİM HİZMETLERİ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4A3FB7" w:rsidRPr="00B94DDC" w:rsidRDefault="00434982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26.577.209.90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4A3FB7" w:rsidRPr="00B94DDC" w:rsidRDefault="00434982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24.615.009,90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:rsidR="004A3FB7" w:rsidRPr="00B94DDC" w:rsidRDefault="00434982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sz w:val="20"/>
                <w:szCs w:val="20"/>
              </w:rPr>
              <w:t>15.955.877,27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A3FB7" w:rsidRPr="00B94DDC" w:rsidRDefault="008918A4" w:rsidP="0043498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sz w:val="20"/>
                <w:szCs w:val="20"/>
              </w:rPr>
              <w:t>%64</w:t>
            </w:r>
          </w:p>
        </w:tc>
      </w:tr>
      <w:tr w:rsidR="00434982" w:rsidRPr="00B94DDC" w:rsidTr="00434982">
        <w:trPr>
          <w:trHeight w:val="43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1" w:type="pct"/>
            <w:shd w:val="clear" w:color="auto" w:fill="C6D9F1"/>
            <w:noWrap/>
            <w:vAlign w:val="center"/>
            <w:hideMark/>
          </w:tcPr>
          <w:p w:rsidR="004A3FB7" w:rsidRPr="00B94DDC" w:rsidRDefault="004A3FB7" w:rsidP="004A3FB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4DDC">
              <w:rPr>
                <w:rFonts w:ascii="Times New Roman" w:hAnsi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774" w:type="pct"/>
            <w:shd w:val="clear" w:color="auto" w:fill="C6D9F1"/>
            <w:noWrap/>
            <w:vAlign w:val="center"/>
            <w:hideMark/>
          </w:tcPr>
          <w:p w:rsidR="004A3FB7" w:rsidRPr="00B94DDC" w:rsidRDefault="00434982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sz w:val="20"/>
                <w:szCs w:val="20"/>
              </w:rPr>
              <w:t>30.188.309,90</w:t>
            </w:r>
          </w:p>
        </w:tc>
        <w:tc>
          <w:tcPr>
            <w:tcW w:w="817" w:type="pct"/>
            <w:shd w:val="clear" w:color="auto" w:fill="C6D9F1"/>
            <w:noWrap/>
            <w:vAlign w:val="center"/>
            <w:hideMark/>
          </w:tcPr>
          <w:p w:rsidR="004A3FB7" w:rsidRPr="00B94DDC" w:rsidRDefault="00434982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sz w:val="20"/>
                <w:szCs w:val="20"/>
              </w:rPr>
              <w:t>28.226.109,90</w:t>
            </w:r>
          </w:p>
        </w:tc>
        <w:tc>
          <w:tcPr>
            <w:tcW w:w="751" w:type="pct"/>
            <w:shd w:val="clear" w:color="auto" w:fill="C6D9F1"/>
            <w:noWrap/>
            <w:vAlign w:val="center"/>
            <w:hideMark/>
          </w:tcPr>
          <w:p w:rsidR="004A3FB7" w:rsidRPr="00B94DDC" w:rsidRDefault="00434982" w:rsidP="004A3FB7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sz w:val="20"/>
                <w:szCs w:val="20"/>
              </w:rPr>
              <w:t>18.099.862,93</w:t>
            </w:r>
          </w:p>
        </w:tc>
        <w:tc>
          <w:tcPr>
            <w:tcW w:w="752" w:type="pct"/>
            <w:shd w:val="clear" w:color="auto" w:fill="C6D9F1"/>
            <w:noWrap/>
            <w:vAlign w:val="center"/>
            <w:hideMark/>
          </w:tcPr>
          <w:p w:rsidR="004A3FB7" w:rsidRPr="00B94DDC" w:rsidRDefault="008918A4" w:rsidP="00B94DDC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 w:rsidR="00416B5F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</w:tr>
    </w:tbl>
    <w:p w:rsidR="004A3FB7" w:rsidRDefault="004A3FB7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4656" w:rsidRPr="00F25F4B" w:rsidRDefault="00264656" w:rsidP="002646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lastRenderedPageBreak/>
        <w:t xml:space="preserve">2012 yılı Haziran ayı sonu itibariyle bütçe harcamalarının toplamı </w:t>
      </w:r>
      <w:r>
        <w:rPr>
          <w:rFonts w:ascii="Times New Roman" w:hAnsi="Times New Roman"/>
          <w:color w:val="000000"/>
          <w:sz w:val="24"/>
          <w:szCs w:val="24"/>
        </w:rPr>
        <w:t>18.099.862,93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TL ile öngörülen bütçenin k</w:t>
      </w:r>
      <w:r>
        <w:rPr>
          <w:rFonts w:ascii="Times New Roman" w:hAnsi="Times New Roman"/>
          <w:color w:val="000000"/>
          <w:sz w:val="24"/>
          <w:szCs w:val="24"/>
        </w:rPr>
        <w:t>ullanım oranı %49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,50 olarak gerçekleşmiştir. </w:t>
      </w:r>
      <w:r>
        <w:rPr>
          <w:rFonts w:ascii="Times New Roman" w:hAnsi="Times New Roman"/>
          <w:color w:val="000000"/>
          <w:sz w:val="24"/>
          <w:szCs w:val="24"/>
        </w:rPr>
        <w:t>2011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aynı döneminde ise bütçe giderleri </w:t>
      </w:r>
      <w:r>
        <w:rPr>
          <w:rFonts w:ascii="Times New Roman" w:hAnsi="Times New Roman"/>
          <w:color w:val="000000"/>
          <w:sz w:val="24"/>
          <w:szCs w:val="24"/>
        </w:rPr>
        <w:t>11.826.151,89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TL’ye</w:t>
      </w:r>
      <w:r>
        <w:rPr>
          <w:rFonts w:ascii="Times New Roman" w:hAnsi="Times New Roman"/>
          <w:color w:val="000000"/>
          <w:sz w:val="24"/>
          <w:szCs w:val="24"/>
        </w:rPr>
        <w:t xml:space="preserve"> ulaşmış ve kullanım oranı %26,70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olarak gerçekleşmiştir. Yılın ilk altı aylık giderleri kıyaslandığında, 2012 yılı giderlerinin bir önceki yıl giderlerine göre </w:t>
      </w:r>
      <w:r>
        <w:rPr>
          <w:rFonts w:ascii="Times New Roman" w:hAnsi="Times New Roman"/>
          <w:color w:val="000000"/>
          <w:sz w:val="24"/>
          <w:szCs w:val="24"/>
        </w:rPr>
        <w:t>% 53,05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‘lik artış sağladığı görülmektedir.</w:t>
      </w:r>
    </w:p>
    <w:p w:rsidR="00264656" w:rsidRDefault="00EC759B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E69C5" w:rsidRPr="00F25F4B" w:rsidRDefault="00264656" w:rsidP="008B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Aynı dönemde </w:t>
      </w:r>
      <w:r w:rsidR="00EC759B">
        <w:rPr>
          <w:rFonts w:ascii="Times New Roman" w:hAnsi="Times New Roman"/>
          <w:color w:val="000000"/>
          <w:sz w:val="24"/>
          <w:szCs w:val="24"/>
        </w:rPr>
        <w:t>Üniversitemiz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09A" w:rsidRPr="00F25F4B">
        <w:rPr>
          <w:rFonts w:ascii="Times New Roman" w:hAnsi="Times New Roman"/>
          <w:color w:val="000000"/>
          <w:sz w:val="24"/>
          <w:szCs w:val="24"/>
        </w:rPr>
        <w:t xml:space="preserve">Personel Giderleri için </w:t>
      </w:r>
      <w:r w:rsidR="00BA2BA9">
        <w:rPr>
          <w:rFonts w:ascii="Times New Roman" w:hAnsi="Times New Roman"/>
          <w:color w:val="000000"/>
          <w:sz w:val="24"/>
          <w:szCs w:val="24"/>
        </w:rPr>
        <w:t>10.164.000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TL, Sosyal</w:t>
      </w:r>
      <w:r w:rsidR="008B5436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Güvenlik Kurumlarına </w:t>
      </w:r>
      <w:r w:rsidR="004B209A" w:rsidRPr="00F25F4B">
        <w:rPr>
          <w:rFonts w:ascii="Times New Roman" w:hAnsi="Times New Roman"/>
          <w:color w:val="000000"/>
          <w:sz w:val="24"/>
          <w:szCs w:val="24"/>
        </w:rPr>
        <w:t xml:space="preserve">Devlet Pirimi Giderleri için </w:t>
      </w:r>
      <w:r w:rsidR="00BA2BA9">
        <w:rPr>
          <w:rFonts w:ascii="Times New Roman" w:hAnsi="Times New Roman"/>
          <w:color w:val="000000"/>
          <w:sz w:val="24"/>
          <w:szCs w:val="24"/>
        </w:rPr>
        <w:t>1.328.000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TL, Mal ve Hizmet Alımları</w:t>
      </w:r>
      <w:r w:rsidR="008B5436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09A" w:rsidRPr="00F25F4B">
        <w:rPr>
          <w:rFonts w:ascii="Times New Roman" w:hAnsi="Times New Roman"/>
          <w:color w:val="000000"/>
          <w:sz w:val="24"/>
          <w:szCs w:val="24"/>
        </w:rPr>
        <w:t xml:space="preserve">Giderleri için </w:t>
      </w:r>
      <w:r w:rsidR="00BA2BA9">
        <w:rPr>
          <w:rFonts w:ascii="Times New Roman" w:hAnsi="Times New Roman"/>
          <w:color w:val="000000"/>
          <w:sz w:val="24"/>
          <w:szCs w:val="24"/>
        </w:rPr>
        <w:t xml:space="preserve">5.852.000 </w:t>
      </w:r>
      <w:r w:rsidR="004B209A" w:rsidRPr="00F25F4B">
        <w:rPr>
          <w:rFonts w:ascii="Times New Roman" w:hAnsi="Times New Roman"/>
          <w:color w:val="000000"/>
          <w:sz w:val="24"/>
          <w:szCs w:val="24"/>
        </w:rPr>
        <w:t xml:space="preserve"> TL, Cari Transferler için </w:t>
      </w:r>
      <w:r w:rsidR="00BA2BA9">
        <w:rPr>
          <w:rFonts w:ascii="Times New Roman" w:hAnsi="Times New Roman"/>
          <w:color w:val="000000"/>
          <w:sz w:val="24"/>
          <w:szCs w:val="24"/>
        </w:rPr>
        <w:t xml:space="preserve">567.000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>TL, Sermaye Giderleri için ise</w:t>
      </w:r>
      <w:r w:rsidR="008B5436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2BA9">
        <w:rPr>
          <w:rFonts w:ascii="Times New Roman" w:hAnsi="Times New Roman"/>
          <w:color w:val="000000"/>
          <w:sz w:val="24"/>
          <w:szCs w:val="24"/>
        </w:rPr>
        <w:t>19.213.000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</w:t>
      </w:r>
      <w:r w:rsidR="002A64B2" w:rsidRPr="00F25F4B">
        <w:rPr>
          <w:rFonts w:ascii="Times New Roman" w:hAnsi="Times New Roman"/>
          <w:color w:val="000000"/>
          <w:sz w:val="24"/>
          <w:szCs w:val="24"/>
        </w:rPr>
        <w:t xml:space="preserve">olmak üzere toplam </w:t>
      </w:r>
      <w:r w:rsidR="00655958">
        <w:rPr>
          <w:rFonts w:ascii="Times New Roman" w:hAnsi="Times New Roman"/>
          <w:color w:val="000000"/>
          <w:sz w:val="24"/>
          <w:szCs w:val="24"/>
        </w:rPr>
        <w:t>37.124.00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ödenek</w:t>
      </w:r>
      <w:r w:rsidR="008B5436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0D4A" w:rsidRPr="00F25F4B">
        <w:rPr>
          <w:rFonts w:ascii="Times New Roman" w:hAnsi="Times New Roman"/>
          <w:color w:val="000000"/>
          <w:sz w:val="24"/>
          <w:szCs w:val="24"/>
        </w:rPr>
        <w:t>tahsis edilmiştir.</w:t>
      </w:r>
    </w:p>
    <w:p w:rsidR="00587424" w:rsidRPr="00F25F4B" w:rsidRDefault="00587424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913D1" w:rsidRDefault="001E69C5" w:rsidP="00526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Bütçe kanunu ile verilen bu ödeneğin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B4351D" w:rsidRPr="00F25F4B">
        <w:rPr>
          <w:rFonts w:ascii="Times New Roman" w:hAnsi="Times New Roman"/>
          <w:color w:val="000000"/>
          <w:sz w:val="24"/>
          <w:szCs w:val="24"/>
        </w:rPr>
        <w:t xml:space="preserve"> yılında </w:t>
      </w:r>
      <w:r w:rsidR="00C74976">
        <w:rPr>
          <w:rFonts w:ascii="Times New Roman" w:hAnsi="Times New Roman"/>
          <w:color w:val="000000"/>
          <w:sz w:val="24"/>
          <w:szCs w:val="24"/>
        </w:rPr>
        <w:t>36.087.000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TL’si hazine yardımı, ger</w:t>
      </w:r>
      <w:r w:rsidR="0005586C" w:rsidRPr="00F25F4B">
        <w:rPr>
          <w:rFonts w:ascii="Times New Roman" w:hAnsi="Times New Roman"/>
          <w:color w:val="000000"/>
          <w:sz w:val="24"/>
          <w:szCs w:val="24"/>
        </w:rPr>
        <w:t xml:space="preserve">iye kalan </w:t>
      </w:r>
      <w:r w:rsidR="00C74976">
        <w:rPr>
          <w:rFonts w:ascii="Times New Roman" w:hAnsi="Times New Roman"/>
          <w:color w:val="000000"/>
          <w:sz w:val="24"/>
          <w:szCs w:val="24"/>
        </w:rPr>
        <w:t>1.037.000</w:t>
      </w:r>
      <w:r w:rsidR="0005586C" w:rsidRPr="00F25F4B">
        <w:rPr>
          <w:rFonts w:ascii="Times New Roman" w:hAnsi="Times New Roman"/>
          <w:color w:val="000000"/>
          <w:sz w:val="24"/>
          <w:szCs w:val="24"/>
        </w:rPr>
        <w:t xml:space="preserve"> TL</w:t>
      </w:r>
      <w:r w:rsidR="008B5436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0EFB">
        <w:rPr>
          <w:rFonts w:ascii="Times New Roman" w:hAnsi="Times New Roman"/>
          <w:color w:val="000000"/>
          <w:sz w:val="24"/>
          <w:szCs w:val="24"/>
        </w:rPr>
        <w:t xml:space="preserve">kısmı </w:t>
      </w:r>
      <w:r w:rsidR="0005586C" w:rsidRPr="00F25F4B">
        <w:rPr>
          <w:rFonts w:ascii="Times New Roman" w:hAnsi="Times New Roman"/>
          <w:color w:val="000000"/>
          <w:sz w:val="24"/>
          <w:szCs w:val="24"/>
        </w:rPr>
        <w:t xml:space="preserve">ise </w:t>
      </w:r>
      <w:r w:rsidRPr="00F25F4B">
        <w:rPr>
          <w:rFonts w:ascii="Times New Roman" w:hAnsi="Times New Roman"/>
          <w:color w:val="000000"/>
          <w:sz w:val="24"/>
          <w:szCs w:val="24"/>
        </w:rPr>
        <w:t>öz gelirlerden oluşmaktadır.</w:t>
      </w:r>
    </w:p>
    <w:p w:rsidR="003226E9" w:rsidRDefault="003226E9" w:rsidP="00526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4656" w:rsidRDefault="009F1D9F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139700</wp:posOffset>
            </wp:positionV>
            <wp:extent cx="6065520" cy="2999740"/>
            <wp:effectExtent l="0" t="4445" r="5715" b="0"/>
            <wp:wrapNone/>
            <wp:docPr id="13" name="Nesnesi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406" w:rsidRDefault="002C5406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C5406" w:rsidRDefault="002C5406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C5406" w:rsidRDefault="002C5406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C5406" w:rsidRDefault="002C5406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1AE3" w:rsidRDefault="00A91AE3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76E79" w:rsidRDefault="00F76E79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64656" w:rsidRPr="00453622" w:rsidRDefault="00264656" w:rsidP="00264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453622">
        <w:rPr>
          <w:rFonts w:ascii="Times New Roman" w:hAnsi="Times New Roman"/>
          <w:b/>
          <w:bCs/>
          <w:color w:val="000000"/>
        </w:rPr>
        <w:t>201</w:t>
      </w:r>
      <w:r>
        <w:rPr>
          <w:rFonts w:ascii="Times New Roman" w:hAnsi="Times New Roman"/>
          <w:b/>
          <w:bCs/>
          <w:color w:val="000000"/>
        </w:rPr>
        <w:t>1</w:t>
      </w:r>
      <w:r w:rsidRPr="00453622">
        <w:rPr>
          <w:rFonts w:ascii="Times New Roman" w:hAnsi="Times New Roman"/>
          <w:b/>
          <w:bCs/>
          <w:color w:val="000000"/>
        </w:rPr>
        <w:t>-2012 OCAK-HAZİRAN DÖNEMİ GİDER GERÇEKLEŞME KARŞILAŞTIRILMASI (TL)</w:t>
      </w:r>
    </w:p>
    <w:p w:rsidR="00264656" w:rsidRPr="00F25F4B" w:rsidRDefault="00264656" w:rsidP="0026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89" w:type="dxa"/>
        <w:tblBorders>
          <w:top w:val="double" w:sz="4" w:space="0" w:color="8064A2"/>
          <w:left w:val="double" w:sz="4" w:space="0" w:color="8064A2"/>
          <w:bottom w:val="double" w:sz="4" w:space="0" w:color="8064A2"/>
          <w:right w:val="double" w:sz="4" w:space="0" w:color="8064A2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1370"/>
        <w:gridCol w:w="1376"/>
        <w:gridCol w:w="1317"/>
        <w:gridCol w:w="1276"/>
        <w:gridCol w:w="1080"/>
        <w:gridCol w:w="1046"/>
      </w:tblGrid>
      <w:tr w:rsidR="00264656" w:rsidRPr="00B94DDC" w:rsidTr="006C597B">
        <w:trPr>
          <w:trHeight w:val="585"/>
        </w:trPr>
        <w:tc>
          <w:tcPr>
            <w:tcW w:w="2424" w:type="dxa"/>
            <w:vMerge w:val="restart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0" w:type="dxa"/>
            <w:vMerge w:val="restart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2011 Başlangıç Ödeneği</w:t>
            </w:r>
          </w:p>
        </w:tc>
        <w:tc>
          <w:tcPr>
            <w:tcW w:w="1376" w:type="dxa"/>
            <w:vMerge w:val="restart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 xml:space="preserve">2012 Başlangıç Ödeneği </w:t>
            </w:r>
          </w:p>
        </w:tc>
        <w:tc>
          <w:tcPr>
            <w:tcW w:w="1317" w:type="dxa"/>
            <w:vMerge w:val="restart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 xml:space="preserve">2011 Ocak Haziran Harcama </w:t>
            </w:r>
          </w:p>
        </w:tc>
        <w:tc>
          <w:tcPr>
            <w:tcW w:w="1276" w:type="dxa"/>
            <w:vMerge w:val="restart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 xml:space="preserve">2012 Ocak Haziran Harcama </w:t>
            </w:r>
          </w:p>
          <w:p w:rsidR="00264656" w:rsidRPr="00B94DDC" w:rsidRDefault="00264656" w:rsidP="0044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ind w:right="-1491"/>
              <w:jc w:val="both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 xml:space="preserve">   Ocak-Haziran Gerçekleşme Gerçekleşme Oranı </w:t>
            </w:r>
          </w:p>
        </w:tc>
      </w:tr>
      <w:tr w:rsidR="00264656" w:rsidRPr="00B94DDC" w:rsidTr="006C597B">
        <w:trPr>
          <w:trHeight w:val="391"/>
        </w:trPr>
        <w:tc>
          <w:tcPr>
            <w:tcW w:w="2424" w:type="dxa"/>
            <w:vMerge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0" w:type="dxa"/>
            <w:vMerge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6" w:type="dxa"/>
            <w:vMerge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7" w:type="dxa"/>
            <w:vMerge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8064A2"/>
          </w:tcPr>
          <w:p w:rsidR="00264656" w:rsidRPr="00B94DDC" w:rsidRDefault="00264656" w:rsidP="0044259B">
            <w:pPr>
              <w:tabs>
                <w:tab w:val="left" w:pos="525"/>
                <w:tab w:val="center" w:pos="1101"/>
              </w:tabs>
              <w:autoSpaceDE w:val="0"/>
              <w:autoSpaceDN w:val="0"/>
              <w:adjustRightInd w:val="0"/>
              <w:ind w:right="-1491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 xml:space="preserve">     2011</w:t>
            </w:r>
            <w:r w:rsidRPr="00B94DDC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046" w:type="dxa"/>
            <w:shd w:val="clear" w:color="auto" w:fill="8064A2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ind w:right="-1491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2012</w:t>
            </w:r>
          </w:p>
        </w:tc>
      </w:tr>
      <w:tr w:rsidR="00264656" w:rsidRPr="00B94DDC" w:rsidTr="006C597B">
        <w:trPr>
          <w:trHeight w:val="569"/>
        </w:trPr>
        <w:tc>
          <w:tcPr>
            <w:tcW w:w="2424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01 Personel Giderleri</w:t>
            </w:r>
          </w:p>
        </w:tc>
        <w:tc>
          <w:tcPr>
            <w:tcW w:w="1370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 xml:space="preserve">6.702.000 </w:t>
            </w:r>
          </w:p>
        </w:tc>
        <w:tc>
          <w:tcPr>
            <w:tcW w:w="137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10.164.000</w:t>
            </w:r>
          </w:p>
        </w:tc>
        <w:tc>
          <w:tcPr>
            <w:tcW w:w="1317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4.459.902</w:t>
            </w:r>
          </w:p>
        </w:tc>
        <w:tc>
          <w:tcPr>
            <w:tcW w:w="127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6.101.936</w:t>
            </w:r>
          </w:p>
        </w:tc>
        <w:tc>
          <w:tcPr>
            <w:tcW w:w="1080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%66,54</w:t>
            </w:r>
          </w:p>
        </w:tc>
        <w:tc>
          <w:tcPr>
            <w:tcW w:w="104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%60,00</w:t>
            </w:r>
          </w:p>
        </w:tc>
      </w:tr>
      <w:tr w:rsidR="00264656" w:rsidRPr="00B94DDC" w:rsidTr="006C597B">
        <w:trPr>
          <w:trHeight w:val="597"/>
        </w:trPr>
        <w:tc>
          <w:tcPr>
            <w:tcW w:w="2424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02 Sos.Güv.Kur.Dev.Pr.Gid.</w:t>
            </w:r>
          </w:p>
        </w:tc>
        <w:tc>
          <w:tcPr>
            <w:tcW w:w="1370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890.000</w:t>
            </w:r>
          </w:p>
        </w:tc>
        <w:tc>
          <w:tcPr>
            <w:tcW w:w="137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1.328.000</w:t>
            </w:r>
          </w:p>
        </w:tc>
        <w:tc>
          <w:tcPr>
            <w:tcW w:w="1317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610.902</w:t>
            </w:r>
          </w:p>
        </w:tc>
        <w:tc>
          <w:tcPr>
            <w:tcW w:w="127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775.678</w:t>
            </w:r>
          </w:p>
        </w:tc>
        <w:tc>
          <w:tcPr>
            <w:tcW w:w="1080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%68,64</w:t>
            </w:r>
          </w:p>
        </w:tc>
        <w:tc>
          <w:tcPr>
            <w:tcW w:w="104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%58,40</w:t>
            </w:r>
          </w:p>
        </w:tc>
      </w:tr>
      <w:tr w:rsidR="00264656" w:rsidRPr="00B94DDC" w:rsidTr="006C597B">
        <w:trPr>
          <w:trHeight w:val="585"/>
        </w:trPr>
        <w:tc>
          <w:tcPr>
            <w:tcW w:w="2424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03 Mal ve Hizmet Alım Gid.</w:t>
            </w:r>
          </w:p>
        </w:tc>
        <w:tc>
          <w:tcPr>
            <w:tcW w:w="1370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4.036.000</w:t>
            </w:r>
          </w:p>
        </w:tc>
        <w:tc>
          <w:tcPr>
            <w:tcW w:w="137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5.852.000</w:t>
            </w:r>
          </w:p>
        </w:tc>
        <w:tc>
          <w:tcPr>
            <w:tcW w:w="1317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1.172.162</w:t>
            </w:r>
          </w:p>
        </w:tc>
        <w:tc>
          <w:tcPr>
            <w:tcW w:w="127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2.566.193</w:t>
            </w:r>
          </w:p>
        </w:tc>
        <w:tc>
          <w:tcPr>
            <w:tcW w:w="1080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%29.00</w:t>
            </w:r>
          </w:p>
        </w:tc>
        <w:tc>
          <w:tcPr>
            <w:tcW w:w="104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%43,85</w:t>
            </w:r>
          </w:p>
        </w:tc>
      </w:tr>
      <w:tr w:rsidR="00264656" w:rsidRPr="00B94DDC" w:rsidTr="006C597B">
        <w:trPr>
          <w:trHeight w:val="553"/>
        </w:trPr>
        <w:tc>
          <w:tcPr>
            <w:tcW w:w="2424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05 Cari Transferler </w:t>
            </w:r>
          </w:p>
        </w:tc>
        <w:tc>
          <w:tcPr>
            <w:tcW w:w="1370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541.000</w:t>
            </w:r>
          </w:p>
        </w:tc>
        <w:tc>
          <w:tcPr>
            <w:tcW w:w="137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567.000</w:t>
            </w:r>
          </w:p>
        </w:tc>
        <w:tc>
          <w:tcPr>
            <w:tcW w:w="1317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513.230</w:t>
            </w:r>
          </w:p>
        </w:tc>
        <w:tc>
          <w:tcPr>
            <w:tcW w:w="127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2.949.393</w:t>
            </w:r>
          </w:p>
        </w:tc>
        <w:tc>
          <w:tcPr>
            <w:tcW w:w="1080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%94,86</w:t>
            </w:r>
          </w:p>
        </w:tc>
        <w:tc>
          <w:tcPr>
            <w:tcW w:w="104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%520,0</w:t>
            </w:r>
          </w:p>
        </w:tc>
      </w:tr>
      <w:tr w:rsidR="00264656" w:rsidRPr="00B94DDC" w:rsidTr="006C597B">
        <w:trPr>
          <w:trHeight w:val="559"/>
        </w:trPr>
        <w:tc>
          <w:tcPr>
            <w:tcW w:w="2424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06 Sermaye Giderleri</w:t>
            </w:r>
          </w:p>
        </w:tc>
        <w:tc>
          <w:tcPr>
            <w:tcW w:w="1370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14.900.000</w:t>
            </w:r>
          </w:p>
        </w:tc>
        <w:tc>
          <w:tcPr>
            <w:tcW w:w="137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19.213.000</w:t>
            </w:r>
          </w:p>
        </w:tc>
        <w:tc>
          <w:tcPr>
            <w:tcW w:w="1317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5.063.955</w:t>
            </w:r>
          </w:p>
        </w:tc>
        <w:tc>
          <w:tcPr>
            <w:tcW w:w="127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5.706.635</w:t>
            </w:r>
          </w:p>
        </w:tc>
        <w:tc>
          <w:tcPr>
            <w:tcW w:w="1080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%33.98</w:t>
            </w:r>
          </w:p>
        </w:tc>
        <w:tc>
          <w:tcPr>
            <w:tcW w:w="1046" w:type="dxa"/>
            <w:vAlign w:val="center"/>
          </w:tcPr>
          <w:p w:rsidR="00264656" w:rsidRPr="00B94DDC" w:rsidRDefault="00264656" w:rsidP="004425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%29,70</w:t>
            </w:r>
          </w:p>
        </w:tc>
      </w:tr>
    </w:tbl>
    <w:p w:rsidR="001E69C5" w:rsidRPr="00F25F4B" w:rsidRDefault="001E69C5" w:rsidP="0013247F">
      <w:pPr>
        <w:pStyle w:val="Balk1"/>
      </w:pPr>
      <w:r w:rsidRPr="00F25F4B">
        <w:t xml:space="preserve">I. OCAK–HAZİRAN </w:t>
      </w:r>
      <w:r w:rsidR="00CB0212" w:rsidRPr="00F25F4B">
        <w:t>2012</w:t>
      </w:r>
      <w:r w:rsidRPr="00F25F4B">
        <w:t xml:space="preserve"> DÖNEMİ BÜTÇE UYGULAMA SONUÇLARI</w:t>
      </w:r>
    </w:p>
    <w:p w:rsidR="00526826" w:rsidRPr="00F25F4B" w:rsidRDefault="00526826" w:rsidP="00526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E69C5" w:rsidRPr="0001074C" w:rsidRDefault="0001074C" w:rsidP="0001074C">
      <w:pPr>
        <w:pStyle w:val="Balk2"/>
        <w:rPr>
          <w:szCs w:val="24"/>
        </w:rPr>
      </w:pPr>
      <w:r w:rsidRPr="0001074C">
        <w:t xml:space="preserve">A. </w:t>
      </w:r>
      <w:r w:rsidR="001E69C5" w:rsidRPr="0001074C">
        <w:rPr>
          <w:szCs w:val="24"/>
        </w:rPr>
        <w:t>Bütçe Giderleri</w:t>
      </w:r>
      <w:r w:rsidR="00526F53" w:rsidRPr="0001074C">
        <w:rPr>
          <w:szCs w:val="24"/>
        </w:rPr>
        <w:t xml:space="preserve"> </w:t>
      </w:r>
    </w:p>
    <w:p w:rsidR="001E69C5" w:rsidRPr="00F25F4B" w:rsidRDefault="00AC313E" w:rsidP="0013247F">
      <w:pPr>
        <w:pStyle w:val="Balk3"/>
      </w:pPr>
      <w:r w:rsidRPr="00F25F4B">
        <w:t xml:space="preserve">     </w:t>
      </w:r>
      <w:r w:rsidR="001E69C5" w:rsidRPr="00F25F4B">
        <w:t>01-Personel Giderleri:</w:t>
      </w:r>
    </w:p>
    <w:p w:rsidR="00AC313E" w:rsidRPr="00F25F4B" w:rsidRDefault="00AC313E" w:rsidP="00AC31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313E" w:rsidRPr="00F25F4B" w:rsidRDefault="0083343C" w:rsidP="00AC3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2011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</w:t>
      </w:r>
      <w:r w:rsidR="00EE4424" w:rsidRPr="00F25F4B">
        <w:rPr>
          <w:rFonts w:ascii="Times New Roman" w:hAnsi="Times New Roman"/>
          <w:color w:val="000000"/>
          <w:sz w:val="24"/>
          <w:szCs w:val="24"/>
        </w:rPr>
        <w:t xml:space="preserve">ılının ilk altı ayında </w:t>
      </w:r>
      <w:r w:rsidR="005F7835">
        <w:rPr>
          <w:rFonts w:ascii="Times New Roman" w:hAnsi="Times New Roman"/>
          <w:color w:val="000000"/>
          <w:sz w:val="24"/>
          <w:szCs w:val="24"/>
        </w:rPr>
        <w:t>4.459.901,21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TL gider gerçekleşirken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</w:t>
      </w:r>
      <w:r w:rsidR="00AC313E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4424" w:rsidRPr="00F25F4B">
        <w:rPr>
          <w:rFonts w:ascii="Times New Roman" w:hAnsi="Times New Roman"/>
          <w:color w:val="000000"/>
          <w:sz w:val="24"/>
          <w:szCs w:val="24"/>
        </w:rPr>
        <w:t>%</w:t>
      </w:r>
      <w:r w:rsidR="008549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4424" w:rsidRPr="00F25F4B">
        <w:rPr>
          <w:rFonts w:ascii="Times New Roman" w:hAnsi="Times New Roman"/>
          <w:color w:val="000000"/>
          <w:sz w:val="24"/>
          <w:szCs w:val="24"/>
        </w:rPr>
        <w:t>1</w:t>
      </w:r>
      <w:r w:rsidR="00854910">
        <w:rPr>
          <w:rFonts w:ascii="Times New Roman" w:hAnsi="Times New Roman"/>
          <w:color w:val="000000"/>
          <w:sz w:val="24"/>
          <w:szCs w:val="24"/>
        </w:rPr>
        <w:t>3</w:t>
      </w:r>
      <w:r w:rsidR="005F7835">
        <w:rPr>
          <w:rFonts w:ascii="Times New Roman" w:hAnsi="Times New Roman"/>
          <w:color w:val="000000"/>
          <w:sz w:val="24"/>
          <w:szCs w:val="24"/>
        </w:rPr>
        <w:t>6</w:t>
      </w:r>
      <w:r w:rsidR="00EE4424" w:rsidRPr="00F25F4B">
        <w:rPr>
          <w:rFonts w:ascii="Times New Roman" w:hAnsi="Times New Roman"/>
          <w:color w:val="000000"/>
          <w:sz w:val="24"/>
          <w:szCs w:val="24"/>
        </w:rPr>
        <w:t xml:space="preserve"> oranında artışla </w:t>
      </w:r>
      <w:r w:rsidR="005F7835">
        <w:rPr>
          <w:rFonts w:ascii="Times New Roman" w:hAnsi="Times New Roman"/>
          <w:color w:val="000000"/>
          <w:sz w:val="24"/>
          <w:szCs w:val="24"/>
        </w:rPr>
        <w:t>6.101.963,24</w:t>
      </w:r>
      <w:r w:rsidR="008549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>TL olarak gerçekleşmiştir.</w:t>
      </w:r>
    </w:p>
    <w:p w:rsidR="001E69C5" w:rsidRPr="00F25F4B" w:rsidRDefault="001E69C5" w:rsidP="00AC3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.</w:t>
      </w:r>
    </w:p>
    <w:p w:rsidR="002F4314" w:rsidRPr="00F25F4B" w:rsidRDefault="001E69C5" w:rsidP="00526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Bu tertibe ilişkin gider gerçekleşme oranı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</w:t>
      </w:r>
      <w:r w:rsidR="00854910">
        <w:rPr>
          <w:rFonts w:ascii="Times New Roman" w:hAnsi="Times New Roman"/>
          <w:color w:val="000000"/>
          <w:sz w:val="24"/>
          <w:szCs w:val="24"/>
        </w:rPr>
        <w:t>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  <w:r w:rsidR="005F783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370B3">
        <w:rPr>
          <w:rFonts w:ascii="Times New Roman" w:hAnsi="Times New Roman"/>
          <w:b/>
          <w:bCs/>
          <w:color w:val="000000"/>
          <w:sz w:val="24"/>
          <w:szCs w:val="24"/>
        </w:rPr>
        <w:t>66,</w:t>
      </w:r>
      <w:r w:rsidR="00854910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5F7835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2370B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AC313E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4424" w:rsidRPr="00F25F4B">
        <w:rPr>
          <w:rFonts w:ascii="Times New Roman" w:hAnsi="Times New Roman"/>
          <w:color w:val="000000"/>
          <w:sz w:val="24"/>
          <w:szCs w:val="24"/>
        </w:rPr>
        <w:t>Yılının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ilk altı ayında ise </w:t>
      </w:r>
      <w:r w:rsidR="00EE4424" w:rsidRPr="00F25F4B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  <w:r w:rsidR="0085491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370B3">
        <w:rPr>
          <w:rFonts w:ascii="Times New Roman" w:hAnsi="Times New Roman"/>
          <w:b/>
          <w:bCs/>
          <w:color w:val="000000"/>
          <w:sz w:val="24"/>
          <w:szCs w:val="24"/>
        </w:rPr>
        <w:t>60</w:t>
      </w:r>
      <w:r w:rsidR="00854910">
        <w:rPr>
          <w:rFonts w:ascii="Times New Roman" w:hAnsi="Times New Roman"/>
          <w:b/>
          <w:bCs/>
          <w:color w:val="000000"/>
          <w:sz w:val="24"/>
          <w:szCs w:val="24"/>
        </w:rPr>
        <w:t xml:space="preserve">,00 </w:t>
      </w:r>
      <w:r w:rsidR="00EA5E7D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F25F4B">
        <w:rPr>
          <w:rFonts w:ascii="Times New Roman" w:hAnsi="Times New Roman"/>
          <w:color w:val="000000"/>
          <w:sz w:val="24"/>
          <w:szCs w:val="24"/>
        </w:rPr>
        <w:t>ir.</w:t>
      </w:r>
      <w:r w:rsidR="005F7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4910">
        <w:rPr>
          <w:rFonts w:ascii="Times New Roman" w:hAnsi="Times New Roman"/>
          <w:color w:val="000000"/>
          <w:sz w:val="24"/>
          <w:szCs w:val="24"/>
        </w:rPr>
        <w:t>2011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ve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aylık gerçekleşmeleri aşağıdaki</w:t>
      </w:r>
      <w:r w:rsidR="00AC313E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4314" w:rsidRPr="00F25F4B">
        <w:rPr>
          <w:rFonts w:ascii="Times New Roman" w:hAnsi="Times New Roman"/>
          <w:color w:val="000000"/>
          <w:sz w:val="24"/>
          <w:szCs w:val="24"/>
        </w:rPr>
        <w:t>Tabloda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aylık bazda gösterilmiştir.</w:t>
      </w:r>
    </w:p>
    <w:p w:rsidR="001120A0" w:rsidRPr="00F25F4B" w:rsidRDefault="001120A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26826" w:rsidRDefault="00596808" w:rsidP="0019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5781675" cy="2962275"/>
            <wp:effectExtent l="57150" t="0" r="28575" b="28575"/>
            <wp:docPr id="4" name="Nesnesi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413D" w:rsidRDefault="0042413D" w:rsidP="0019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tr-TR"/>
        </w:rPr>
      </w:pPr>
    </w:p>
    <w:p w:rsidR="00A908E2" w:rsidRPr="00196BBD" w:rsidRDefault="00A908E2" w:rsidP="0019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tr-TR"/>
        </w:rPr>
      </w:pPr>
    </w:p>
    <w:p w:rsidR="001E69C5" w:rsidRPr="00F25F4B" w:rsidRDefault="001E69C5" w:rsidP="0013247F">
      <w:pPr>
        <w:pStyle w:val="Balk3"/>
      </w:pPr>
      <w:r w:rsidRPr="00F25F4B">
        <w:t>02- Sosyal Güvenlik Kurumlarına Devlet Primi Giderleri:</w:t>
      </w:r>
    </w:p>
    <w:p w:rsidR="00526F53" w:rsidRPr="00F25F4B" w:rsidRDefault="00526F5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69C5" w:rsidRPr="00F25F4B" w:rsidRDefault="002A308A" w:rsidP="00526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2011</w:t>
      </w:r>
      <w:r w:rsidR="00E87F15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>
        <w:rPr>
          <w:rFonts w:ascii="Times New Roman" w:hAnsi="Times New Roman"/>
          <w:color w:val="000000"/>
          <w:sz w:val="24"/>
          <w:szCs w:val="24"/>
        </w:rPr>
        <w:t>610.902,42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gider gerçekleşirken,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% 126,00</w:t>
      </w:r>
      <w:r w:rsidR="003132F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7F15" w:rsidRPr="00F25F4B">
        <w:rPr>
          <w:rFonts w:ascii="Times New Roman" w:hAnsi="Times New Roman"/>
          <w:color w:val="000000"/>
          <w:sz w:val="24"/>
          <w:szCs w:val="24"/>
        </w:rPr>
        <w:t xml:space="preserve">oranında artışla </w:t>
      </w:r>
      <w:r>
        <w:rPr>
          <w:rFonts w:ascii="Times New Roman" w:hAnsi="Times New Roman"/>
          <w:color w:val="000000"/>
          <w:sz w:val="24"/>
          <w:szCs w:val="24"/>
        </w:rPr>
        <w:t>775.678,01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olarak gerçekleşmiştir.</w:t>
      </w:r>
    </w:p>
    <w:p w:rsidR="00526F53" w:rsidRPr="00F25F4B" w:rsidRDefault="00526F53" w:rsidP="00526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3247F" w:rsidRDefault="001E69C5" w:rsidP="00526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Bu tertibe ilişkin gider gerçekleşme oranı </w:t>
      </w:r>
      <w:r w:rsidR="002A308A">
        <w:rPr>
          <w:rFonts w:ascii="Times New Roman" w:hAnsi="Times New Roman"/>
          <w:color w:val="000000"/>
          <w:sz w:val="24"/>
          <w:szCs w:val="24"/>
        </w:rPr>
        <w:t>2011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 w:rsidR="00E87F15" w:rsidRPr="00F25F4B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  <w:r w:rsidR="002370B3">
        <w:rPr>
          <w:rFonts w:ascii="Times New Roman" w:hAnsi="Times New Roman"/>
          <w:b/>
          <w:bCs/>
          <w:color w:val="000000"/>
          <w:sz w:val="24"/>
          <w:szCs w:val="24"/>
        </w:rPr>
        <w:t xml:space="preserve"> 68,00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iken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526F5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7F15" w:rsidRPr="00F25F4B">
        <w:rPr>
          <w:rFonts w:ascii="Times New Roman" w:hAnsi="Times New Roman"/>
          <w:color w:val="000000"/>
          <w:sz w:val="24"/>
          <w:szCs w:val="24"/>
        </w:rPr>
        <w:t>Yılının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ilk altı ayında </w:t>
      </w:r>
      <w:r w:rsidR="00E87F15" w:rsidRPr="00F25F4B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  <w:r w:rsidR="002370B3">
        <w:rPr>
          <w:rFonts w:ascii="Times New Roman" w:hAnsi="Times New Roman"/>
          <w:b/>
          <w:bCs/>
          <w:color w:val="000000"/>
          <w:sz w:val="24"/>
          <w:szCs w:val="24"/>
        </w:rPr>
        <w:t xml:space="preserve"> 58,00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olmuştur.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</w:t>
      </w:r>
      <w:r w:rsidR="00D35250">
        <w:rPr>
          <w:rFonts w:ascii="Times New Roman" w:hAnsi="Times New Roman"/>
          <w:color w:val="000000"/>
          <w:sz w:val="24"/>
          <w:szCs w:val="24"/>
        </w:rPr>
        <w:t>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ve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aylık gerçekleşmeleri</w:t>
      </w:r>
      <w:r w:rsidR="00526F53" w:rsidRPr="00F25F4B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E87F15" w:rsidRPr="00F25F4B">
        <w:rPr>
          <w:rFonts w:ascii="Times New Roman" w:hAnsi="Times New Roman"/>
          <w:color w:val="000000"/>
          <w:sz w:val="24"/>
          <w:szCs w:val="24"/>
        </w:rPr>
        <w:t>şağıdaki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tabloda aylık bazda gösterilmiştir.</w:t>
      </w:r>
    </w:p>
    <w:p w:rsidR="00ED18B3" w:rsidRDefault="00ED18B3" w:rsidP="00526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18B3" w:rsidRDefault="00ED18B3" w:rsidP="00526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7B71" w:rsidRDefault="00227B71" w:rsidP="00BA72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8B3" w:rsidRDefault="00ED18B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1021" w:rsidRPr="00F25F4B" w:rsidRDefault="0059680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39370</wp:posOffset>
            </wp:positionV>
            <wp:extent cx="5970905" cy="2810510"/>
            <wp:effectExtent l="57150" t="0" r="29845" b="46990"/>
            <wp:wrapNone/>
            <wp:docPr id="10" name="Nesnesi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E87F15" w:rsidRPr="00F25F4B" w:rsidRDefault="00E87F15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1E69C5" w:rsidRDefault="001E69C5" w:rsidP="0013247F">
      <w:pPr>
        <w:pStyle w:val="Balk3"/>
      </w:pPr>
      <w:r w:rsidRPr="00F25F4B">
        <w:t>03- Mal ve Hizmet Alım Giderleri:</w:t>
      </w:r>
    </w:p>
    <w:p w:rsidR="00ED18B3" w:rsidRDefault="00ED18B3" w:rsidP="00ED18B3"/>
    <w:p w:rsidR="0042413D" w:rsidRDefault="0042413D" w:rsidP="00ED18B3"/>
    <w:p w:rsidR="00ED18B3" w:rsidRDefault="00ED18B3" w:rsidP="00ED18B3"/>
    <w:p w:rsidR="00ED18B3" w:rsidRDefault="00ED18B3" w:rsidP="00ED18B3"/>
    <w:p w:rsidR="00885D8A" w:rsidRDefault="00885D8A" w:rsidP="00ED18B3"/>
    <w:p w:rsidR="00885D8A" w:rsidRDefault="00885D8A" w:rsidP="00ED18B3"/>
    <w:p w:rsidR="00885D8A" w:rsidRDefault="00885D8A" w:rsidP="00ED18B3"/>
    <w:p w:rsidR="00885D8A" w:rsidRDefault="00885D8A" w:rsidP="00ED18B3"/>
    <w:p w:rsidR="0013247F" w:rsidRDefault="0013247F" w:rsidP="00FE6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D35250" w:rsidP="00FE6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2011</w:t>
      </w:r>
      <w:r w:rsidR="00BC5903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>
        <w:rPr>
          <w:rFonts w:ascii="Times New Roman" w:hAnsi="Times New Roman"/>
          <w:color w:val="000000"/>
          <w:sz w:val="24"/>
          <w:szCs w:val="24"/>
        </w:rPr>
        <w:t>1.172.162,65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gider gerçekleşirken,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5903" w:rsidRPr="00F25F4B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D35250">
        <w:rPr>
          <w:rFonts w:ascii="Times New Roman" w:hAnsi="Times New Roman"/>
          <w:b/>
          <w:color w:val="000000"/>
          <w:sz w:val="24"/>
          <w:szCs w:val="24"/>
        </w:rPr>
        <w:t>218</w:t>
      </w:r>
      <w:r w:rsidR="00BC5903" w:rsidRPr="00D35250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D35250">
        <w:rPr>
          <w:rFonts w:ascii="Times New Roman" w:hAnsi="Times New Roman"/>
          <w:b/>
          <w:color w:val="000000"/>
          <w:sz w:val="24"/>
          <w:szCs w:val="24"/>
        </w:rPr>
        <w:t>00</w:t>
      </w:r>
      <w:r w:rsidR="00BC5903" w:rsidRPr="00F25F4B">
        <w:rPr>
          <w:rFonts w:ascii="Times New Roman" w:hAnsi="Times New Roman"/>
          <w:color w:val="000000"/>
          <w:sz w:val="24"/>
          <w:szCs w:val="24"/>
        </w:rPr>
        <w:t xml:space="preserve"> oranında artışla </w:t>
      </w:r>
      <w:r>
        <w:rPr>
          <w:rFonts w:ascii="Times New Roman" w:hAnsi="Times New Roman"/>
          <w:color w:val="000000"/>
          <w:sz w:val="24"/>
          <w:szCs w:val="24"/>
        </w:rPr>
        <w:t>2.566.193,09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olarak gerçekleşmiştir.</w:t>
      </w:r>
    </w:p>
    <w:p w:rsidR="00FE6A0F" w:rsidRDefault="00FE6A0F" w:rsidP="00FE6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5D8A" w:rsidRPr="00F25F4B" w:rsidRDefault="00885D8A" w:rsidP="00FE6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Default="001E69C5" w:rsidP="00FE6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Bu tertibe ilişkin gider gerçekleşme oranı </w:t>
      </w:r>
      <w:r w:rsidR="00D35250">
        <w:rPr>
          <w:rFonts w:ascii="Times New Roman" w:hAnsi="Times New Roman"/>
          <w:color w:val="000000"/>
          <w:sz w:val="24"/>
          <w:szCs w:val="24"/>
        </w:rPr>
        <w:t>2011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 w:rsidR="00BC5903" w:rsidRPr="00F25F4B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  <w:r w:rsidR="001071D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A1B61">
        <w:rPr>
          <w:rFonts w:ascii="Times New Roman" w:hAnsi="Times New Roman"/>
          <w:b/>
          <w:bCs/>
          <w:color w:val="000000"/>
          <w:sz w:val="24"/>
          <w:szCs w:val="24"/>
        </w:rPr>
        <w:t>29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1071D0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y</w:t>
      </w:r>
      <w:r w:rsidR="00BC5903" w:rsidRPr="00F25F4B">
        <w:rPr>
          <w:rFonts w:ascii="Times New Roman" w:hAnsi="Times New Roman"/>
          <w:color w:val="000000"/>
          <w:sz w:val="24"/>
          <w:szCs w:val="24"/>
        </w:rPr>
        <w:t>ılının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ilk altı ayında ise </w:t>
      </w:r>
      <w:r w:rsidR="00BC5903" w:rsidRPr="00F25F4B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  <w:r w:rsidR="00DA1B61">
        <w:rPr>
          <w:rFonts w:ascii="Times New Roman" w:hAnsi="Times New Roman"/>
          <w:b/>
          <w:bCs/>
          <w:color w:val="000000"/>
          <w:sz w:val="24"/>
          <w:szCs w:val="24"/>
        </w:rPr>
        <w:t xml:space="preserve">44,00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dir. </w:t>
      </w:r>
      <w:r w:rsidR="00D35250">
        <w:rPr>
          <w:rFonts w:ascii="Times New Roman" w:hAnsi="Times New Roman"/>
          <w:color w:val="000000"/>
          <w:sz w:val="24"/>
          <w:szCs w:val="24"/>
        </w:rPr>
        <w:t>2011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ve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aylık gerçekleşmeleri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aşağıdaki tabloda aylık bazda gösterilmiştir.</w:t>
      </w:r>
    </w:p>
    <w:p w:rsidR="00885D8A" w:rsidRDefault="00885D8A" w:rsidP="00FE6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1EF3" w:rsidRPr="00F25F4B" w:rsidRDefault="0059680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76200</wp:posOffset>
            </wp:positionV>
            <wp:extent cx="5918200" cy="2876550"/>
            <wp:effectExtent l="57150" t="0" r="44450" b="38100"/>
            <wp:wrapNone/>
            <wp:docPr id="9" name="Nesnesi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1A1EF3" w:rsidRPr="009918BE" w:rsidRDefault="001A1EF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A1EF3" w:rsidRPr="00F25F4B" w:rsidRDefault="001A1EF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A1EF3" w:rsidRPr="00F25F4B" w:rsidRDefault="001A1EF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5903" w:rsidRPr="00F25F4B" w:rsidRDefault="00BC5903" w:rsidP="00BC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5903" w:rsidRPr="00F25F4B" w:rsidRDefault="00BC5903" w:rsidP="00BC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5903" w:rsidRPr="00F25F4B" w:rsidRDefault="00BC5903" w:rsidP="00BC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5903" w:rsidRPr="00F25F4B" w:rsidRDefault="00BC5903" w:rsidP="00BC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5903" w:rsidRDefault="00BC5903" w:rsidP="00655E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2A16" w:rsidRDefault="00432A16" w:rsidP="00655E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2A16" w:rsidRDefault="00432A16" w:rsidP="00655E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2A16" w:rsidRDefault="00432A16" w:rsidP="00655E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2A16" w:rsidRDefault="00432A16" w:rsidP="00655E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2A16" w:rsidRDefault="00432A16" w:rsidP="00655E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2A16" w:rsidRDefault="00432A16" w:rsidP="00655E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2A16" w:rsidRDefault="00432A16" w:rsidP="00655E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2A16" w:rsidRDefault="00432A16" w:rsidP="00655E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92B00" w:rsidRDefault="00E92B00" w:rsidP="0013247F">
      <w:pPr>
        <w:pStyle w:val="Balk3"/>
      </w:pPr>
    </w:p>
    <w:p w:rsidR="000374D8" w:rsidRPr="000374D8" w:rsidRDefault="000374D8" w:rsidP="000374D8"/>
    <w:p w:rsidR="0042413D" w:rsidRPr="0042413D" w:rsidRDefault="0042413D" w:rsidP="0042413D"/>
    <w:p w:rsidR="000374D8" w:rsidRDefault="000374D8" w:rsidP="0013247F">
      <w:pPr>
        <w:pStyle w:val="Balk3"/>
      </w:pPr>
    </w:p>
    <w:p w:rsidR="000374D8" w:rsidRDefault="000374D8" w:rsidP="0013247F">
      <w:pPr>
        <w:pStyle w:val="Balk3"/>
      </w:pPr>
    </w:p>
    <w:p w:rsidR="00BC5903" w:rsidRDefault="001E69C5" w:rsidP="0013247F">
      <w:pPr>
        <w:pStyle w:val="Balk3"/>
      </w:pPr>
      <w:r w:rsidRPr="00F25F4B">
        <w:t>05- Cari Transferler:</w:t>
      </w:r>
    </w:p>
    <w:p w:rsidR="00196BBD" w:rsidRDefault="00196BBD" w:rsidP="00CD6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63A6" w:rsidRDefault="00CB0212" w:rsidP="00CD6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201</w:t>
      </w:r>
      <w:r w:rsidR="005708B7">
        <w:rPr>
          <w:rFonts w:ascii="Times New Roman" w:hAnsi="Times New Roman"/>
          <w:color w:val="000000"/>
          <w:sz w:val="24"/>
          <w:szCs w:val="24"/>
        </w:rPr>
        <w:t>1</w:t>
      </w:r>
      <w:r w:rsidR="00DC7517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 w:rsidR="005708B7">
        <w:rPr>
          <w:rFonts w:ascii="Times New Roman" w:hAnsi="Times New Roman"/>
          <w:color w:val="000000"/>
          <w:sz w:val="24"/>
          <w:szCs w:val="24"/>
        </w:rPr>
        <w:t>519.230,47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gider gerçekleşirken, </w:t>
      </w:r>
      <w:r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08B7" w:rsidRPr="005708B7">
        <w:rPr>
          <w:rFonts w:ascii="Times New Roman" w:hAnsi="Times New Roman"/>
          <w:b/>
          <w:color w:val="000000"/>
          <w:sz w:val="24"/>
          <w:szCs w:val="24"/>
        </w:rPr>
        <w:t>%</w:t>
      </w:r>
      <w:r w:rsidR="005708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08B7">
        <w:rPr>
          <w:rFonts w:ascii="Times New Roman" w:hAnsi="Times New Roman"/>
          <w:b/>
          <w:color w:val="000000"/>
          <w:sz w:val="24"/>
          <w:szCs w:val="24"/>
        </w:rPr>
        <w:t>568,00</w:t>
      </w:r>
      <w:r w:rsidR="00DC7517" w:rsidRPr="00F25F4B">
        <w:rPr>
          <w:rFonts w:ascii="Times New Roman" w:hAnsi="Times New Roman"/>
          <w:color w:val="000000"/>
          <w:sz w:val="24"/>
          <w:szCs w:val="24"/>
        </w:rPr>
        <w:t xml:space="preserve"> oranında artışla </w:t>
      </w:r>
      <w:r w:rsidR="005708B7">
        <w:rPr>
          <w:rFonts w:ascii="Times New Roman" w:hAnsi="Times New Roman"/>
          <w:color w:val="000000"/>
          <w:sz w:val="24"/>
          <w:szCs w:val="24"/>
        </w:rPr>
        <w:t>2.949.393,38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olarak gerçekleşmiştir.</w:t>
      </w:r>
    </w:p>
    <w:p w:rsidR="00E6779B" w:rsidRDefault="00E6779B" w:rsidP="00CD6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7517" w:rsidRPr="00F25F4B" w:rsidRDefault="001E69C5" w:rsidP="00CD6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Bu tertibe ilişkin gider gerçekleşme oranı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</w:t>
      </w:r>
      <w:r w:rsidR="005708B7">
        <w:rPr>
          <w:rFonts w:ascii="Times New Roman" w:hAnsi="Times New Roman"/>
          <w:color w:val="000000"/>
          <w:sz w:val="24"/>
          <w:szCs w:val="24"/>
        </w:rPr>
        <w:t>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 w:rsidR="00DC7517"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% </w:t>
      </w:r>
      <w:r w:rsidR="00BB4C7D">
        <w:rPr>
          <w:rFonts w:ascii="Times New Roman" w:hAnsi="Times New Roman"/>
          <w:b/>
          <w:bCs/>
          <w:color w:val="000000"/>
          <w:sz w:val="24"/>
          <w:szCs w:val="24"/>
        </w:rPr>
        <w:t>95,00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ilk altı ayında ise </w:t>
      </w:r>
      <w:r w:rsidR="00BB4C7D">
        <w:rPr>
          <w:rFonts w:ascii="Times New Roman" w:hAnsi="Times New Roman"/>
          <w:b/>
          <w:bCs/>
          <w:color w:val="000000"/>
          <w:sz w:val="24"/>
          <w:szCs w:val="24"/>
        </w:rPr>
        <w:t xml:space="preserve">% 520,00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dir.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</w:t>
      </w:r>
      <w:r w:rsidR="005708B7">
        <w:rPr>
          <w:rFonts w:ascii="Times New Roman" w:hAnsi="Times New Roman"/>
          <w:color w:val="000000"/>
          <w:sz w:val="24"/>
          <w:szCs w:val="24"/>
        </w:rPr>
        <w:t>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ve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aylık gerçekleşmeleri aşağıdaki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tabloda aylık bazda gösterilmiştir</w:t>
      </w:r>
      <w:r w:rsidR="003E4E1A" w:rsidRPr="00F25F4B">
        <w:rPr>
          <w:rFonts w:ascii="Times New Roman" w:hAnsi="Times New Roman"/>
          <w:color w:val="000000"/>
          <w:sz w:val="24"/>
          <w:szCs w:val="24"/>
        </w:rPr>
        <w:t>.</w:t>
      </w: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A72B6" w:rsidRDefault="00432A16" w:rsidP="00DB566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69215</wp:posOffset>
            </wp:positionV>
            <wp:extent cx="5772150" cy="3162300"/>
            <wp:effectExtent l="57150" t="0" r="38100" b="38100"/>
            <wp:wrapSquare wrapText="bothSides"/>
            <wp:docPr id="5" name="Nesnesi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1E69C5" w:rsidRPr="00F25F4B" w:rsidRDefault="001E69C5" w:rsidP="0001074C">
      <w:pPr>
        <w:pStyle w:val="Balk3"/>
      </w:pPr>
      <w:r w:rsidRPr="00F25F4B">
        <w:t>06- Sermaye Giderleri:</w:t>
      </w:r>
    </w:p>
    <w:p w:rsidR="00FE6A0F" w:rsidRPr="00F25F4B" w:rsidRDefault="00FE6A0F" w:rsidP="00FE6A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69C5" w:rsidRPr="00F25F4B" w:rsidRDefault="007D271F" w:rsidP="00FE6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2011</w:t>
      </w:r>
      <w:r w:rsidR="00DC7517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 w:rsidR="00CB1D07">
        <w:rPr>
          <w:rFonts w:ascii="Times New Roman" w:hAnsi="Times New Roman"/>
          <w:color w:val="000000"/>
          <w:sz w:val="24"/>
          <w:szCs w:val="24"/>
        </w:rPr>
        <w:t>5.063.955,14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gider gerçekleşirken,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CB1D07">
        <w:rPr>
          <w:rFonts w:ascii="Times New Roman" w:hAnsi="Times New Roman"/>
          <w:b/>
          <w:color w:val="000000"/>
          <w:sz w:val="24"/>
          <w:szCs w:val="24"/>
        </w:rPr>
        <w:t xml:space="preserve">% </w:t>
      </w:r>
      <w:r w:rsidR="00CB1D07" w:rsidRPr="00CB1D07">
        <w:rPr>
          <w:rFonts w:ascii="Times New Roman" w:hAnsi="Times New Roman"/>
          <w:b/>
          <w:color w:val="000000"/>
          <w:sz w:val="24"/>
          <w:szCs w:val="24"/>
        </w:rPr>
        <w:t>113,00</w:t>
      </w:r>
      <w:r w:rsidR="00AD764B" w:rsidRPr="00F25F4B">
        <w:rPr>
          <w:rFonts w:ascii="Times New Roman" w:hAnsi="Times New Roman"/>
          <w:color w:val="000000"/>
          <w:sz w:val="24"/>
          <w:szCs w:val="24"/>
        </w:rPr>
        <w:t xml:space="preserve"> oranında artışla </w:t>
      </w:r>
      <w:r w:rsidR="00CB1D07">
        <w:rPr>
          <w:rFonts w:ascii="Times New Roman" w:hAnsi="Times New Roman"/>
          <w:color w:val="000000"/>
          <w:sz w:val="24"/>
          <w:szCs w:val="24"/>
        </w:rPr>
        <w:t>5.706.635,21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olarak gerçekleşmiştir.</w:t>
      </w:r>
    </w:p>
    <w:p w:rsidR="00FE6A0F" w:rsidRPr="00F25F4B" w:rsidRDefault="00FE6A0F" w:rsidP="00FE6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Default="001E69C5" w:rsidP="00FE6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Bu tertibe ilişkin gider gerçekleşme oranı </w:t>
      </w:r>
      <w:r w:rsidR="007D271F">
        <w:rPr>
          <w:rFonts w:ascii="Times New Roman" w:hAnsi="Times New Roman"/>
          <w:color w:val="000000"/>
          <w:sz w:val="24"/>
          <w:szCs w:val="24"/>
        </w:rPr>
        <w:t>2011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 w:rsidR="00AD764B"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% </w:t>
      </w:r>
      <w:r w:rsidR="00CB1D07">
        <w:rPr>
          <w:rFonts w:ascii="Times New Roman" w:hAnsi="Times New Roman"/>
          <w:b/>
          <w:bCs/>
          <w:color w:val="000000"/>
          <w:sz w:val="24"/>
          <w:szCs w:val="24"/>
        </w:rPr>
        <w:t xml:space="preserve">38,00 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ilk altı ayında ise </w:t>
      </w:r>
      <w:r w:rsidR="00AD764B"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% </w:t>
      </w:r>
      <w:r w:rsidR="00CB1D07">
        <w:rPr>
          <w:rFonts w:ascii="Times New Roman" w:hAnsi="Times New Roman"/>
          <w:b/>
          <w:bCs/>
          <w:color w:val="000000"/>
          <w:sz w:val="24"/>
          <w:szCs w:val="24"/>
        </w:rPr>
        <w:t xml:space="preserve">30,00 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>‘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dur. </w:t>
      </w:r>
      <w:r w:rsidR="007D271F">
        <w:rPr>
          <w:rFonts w:ascii="Times New Roman" w:hAnsi="Times New Roman"/>
          <w:color w:val="000000"/>
          <w:sz w:val="24"/>
          <w:szCs w:val="24"/>
        </w:rPr>
        <w:t>2011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ve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aylık gerçekleşmeleri aşağıdaki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tabloda aylık bazda gösterilmiştir</w:t>
      </w: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2413D" w:rsidRDefault="0042413D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2413D" w:rsidRDefault="0042413D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2413D" w:rsidRDefault="0042413D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2413D" w:rsidRDefault="0042413D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2413D" w:rsidRDefault="0042413D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2413D" w:rsidRDefault="0042413D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2413D" w:rsidRDefault="0042413D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D764B" w:rsidRPr="00F25F4B" w:rsidRDefault="0059680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95885</wp:posOffset>
            </wp:positionV>
            <wp:extent cx="6376670" cy="3192780"/>
            <wp:effectExtent l="57150" t="0" r="43180" b="45720"/>
            <wp:wrapNone/>
            <wp:docPr id="8" name="Nesnes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5834B5" w:rsidRPr="00F25F4B" w:rsidRDefault="005834B5" w:rsidP="00C01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5834B5" w:rsidRPr="00F25F4B" w:rsidRDefault="005834B5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7E7733" w:rsidRDefault="007E773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2413D" w:rsidRDefault="0042413D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2A16" w:rsidRDefault="00432A16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E69C5" w:rsidRDefault="001E69C5" w:rsidP="0001074C">
      <w:pPr>
        <w:pStyle w:val="Balk2"/>
      </w:pPr>
      <w:r w:rsidRPr="00F25F4B">
        <w:t>B. Bütçe Gelirleri</w:t>
      </w:r>
    </w:p>
    <w:p w:rsidR="000374D8" w:rsidRDefault="000374D8" w:rsidP="000374D8"/>
    <w:p w:rsidR="000374D8" w:rsidRPr="000374D8" w:rsidRDefault="000374D8" w:rsidP="000374D8"/>
    <w:p w:rsidR="006C6C4A" w:rsidRDefault="006C6C4A" w:rsidP="006C6C4A">
      <w:pPr>
        <w:pStyle w:val="ResimYazs"/>
        <w:keepNext/>
        <w:ind w:firstLine="357"/>
        <w:jc w:val="both"/>
        <w:outlineLvl w:val="0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C6C4A" w:rsidRDefault="006C6C4A" w:rsidP="006C6C4A">
      <w:pPr>
        <w:pStyle w:val="ResimYazs"/>
        <w:keepNext/>
        <w:ind w:firstLine="357"/>
        <w:jc w:val="both"/>
        <w:outlineLvl w:val="0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C6C4A">
        <w:rPr>
          <w:rFonts w:ascii="Times New Roman" w:hAnsi="Times New Roman"/>
          <w:b w:val="0"/>
          <w:bCs w:val="0"/>
          <w:color w:val="000000"/>
          <w:sz w:val="24"/>
          <w:szCs w:val="24"/>
        </w:rPr>
        <w:t>2012 Yılı Ocak-Haziran Dönemi için öngörülmüş olan öz gelir tahminleri ve gerçekleşen tahakkuk miktarlarını gösteren tablo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aşağıda verilmiştir.</w:t>
      </w:r>
    </w:p>
    <w:p w:rsidR="000374D8" w:rsidRPr="000374D8" w:rsidRDefault="000374D8" w:rsidP="000374D8"/>
    <w:tbl>
      <w:tblPr>
        <w:tblpPr w:leftFromText="141" w:rightFromText="141" w:vertAnchor="text" w:horzAnchor="margin" w:tblpY="221"/>
        <w:tblW w:w="4901" w:type="pct"/>
        <w:tblBorders>
          <w:top w:val="thickThinSmallGap" w:sz="24" w:space="0" w:color="548DD4"/>
          <w:left w:val="thickThinSmallGap" w:sz="24" w:space="0" w:color="548DD4"/>
          <w:bottom w:val="thickThinSmallGap" w:sz="24" w:space="0" w:color="548DD4"/>
          <w:right w:val="thickThinSmallGap" w:sz="24" w:space="0" w:color="548DD4"/>
          <w:insideH w:val="single" w:sz="8" w:space="0" w:color="548DD4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4893"/>
        <w:gridCol w:w="1290"/>
        <w:gridCol w:w="1191"/>
        <w:gridCol w:w="1336"/>
      </w:tblGrid>
      <w:tr w:rsidR="006C6C4A" w:rsidRPr="00B94DDC" w:rsidTr="006C597B">
        <w:trPr>
          <w:trHeight w:val="315"/>
        </w:trPr>
        <w:tc>
          <w:tcPr>
            <w:tcW w:w="5000" w:type="pct"/>
            <w:gridSpan w:val="5"/>
            <w:shd w:val="clear" w:color="auto" w:fill="D9D9D9"/>
            <w:noWrap/>
            <w:vAlign w:val="bottom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6C4A" w:rsidRPr="00B94DDC" w:rsidTr="006C597B">
        <w:trPr>
          <w:trHeight w:val="315"/>
        </w:trPr>
        <w:tc>
          <w:tcPr>
            <w:tcW w:w="5000" w:type="pct"/>
            <w:gridSpan w:val="5"/>
            <w:shd w:val="clear" w:color="auto" w:fill="8DB3E2"/>
            <w:noWrap/>
            <w:vAlign w:val="bottom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2012 YILI OCAK-HAZİRAN ÖZ GELİRLERİ</w:t>
            </w:r>
          </w:p>
        </w:tc>
      </w:tr>
      <w:tr w:rsidR="006C6C4A" w:rsidRPr="00B94DDC" w:rsidTr="006C597B">
        <w:trPr>
          <w:trHeight w:val="779"/>
        </w:trPr>
        <w:tc>
          <w:tcPr>
            <w:tcW w:w="509" w:type="pct"/>
            <w:shd w:val="clear" w:color="auto" w:fill="8DB3E2"/>
            <w:vAlign w:val="center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Tertip</w:t>
            </w:r>
          </w:p>
        </w:tc>
        <w:tc>
          <w:tcPr>
            <w:tcW w:w="2523" w:type="pct"/>
            <w:shd w:val="clear" w:color="auto" w:fill="8DB3E2"/>
            <w:vAlign w:val="center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665" w:type="pct"/>
            <w:shd w:val="clear" w:color="auto" w:fill="8DB3E2"/>
            <w:vAlign w:val="center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Bütçe Tahmini</w:t>
            </w:r>
          </w:p>
        </w:tc>
        <w:tc>
          <w:tcPr>
            <w:tcW w:w="614" w:type="pct"/>
            <w:shd w:val="clear" w:color="auto" w:fill="8DB3E2"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Gelir Tahakkuku</w:t>
            </w:r>
          </w:p>
        </w:tc>
        <w:tc>
          <w:tcPr>
            <w:tcW w:w="688" w:type="pct"/>
            <w:shd w:val="clear" w:color="auto" w:fill="8DB3E2"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Tahakkuk - Tahmin Oranı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Teşebbüs ve Mülkiyet Geliri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03.1.1.01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Şartname, Basılı Evrak, Form Satış Gelirleri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88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%0,01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03.1.2.09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İhaleye İlişkin Şikâyetler İçin Alınan Bedeller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8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%0,00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03.1.2.29 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Örgün ve Yaygın Öğretimden Elde Edilen Gelirler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347.000,00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213.933,75</w:t>
            </w:r>
          </w:p>
        </w:tc>
        <w:tc>
          <w:tcPr>
            <w:tcW w:w="688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%61,65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03.1.2.31 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İkinci Öğretimden Elde Edilen Gelirler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234.818,00</w:t>
            </w:r>
          </w:p>
        </w:tc>
        <w:tc>
          <w:tcPr>
            <w:tcW w:w="688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%46,96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03.1.2.99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Diğer Hizmet Gelirleri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71.000,00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174.127,75</w:t>
            </w:r>
          </w:p>
        </w:tc>
        <w:tc>
          <w:tcPr>
            <w:tcW w:w="688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%245,25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03.6.1.01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Lojman Kira Gelirleri</w:t>
            </w:r>
          </w:p>
        </w:tc>
        <w:tc>
          <w:tcPr>
            <w:tcW w:w="665" w:type="pct"/>
            <w:shd w:val="clear" w:color="auto" w:fill="auto"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61.178,98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Alınan Bağış ve Yardımlar ile Özel gelirler</w:t>
            </w:r>
          </w:p>
        </w:tc>
        <w:tc>
          <w:tcPr>
            <w:tcW w:w="665" w:type="pct"/>
            <w:shd w:val="clear" w:color="auto" w:fill="auto"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04.2.1.01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Hazine Yardımı (Cari)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16.874.000,00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8.462.400,00</w:t>
            </w:r>
          </w:p>
        </w:tc>
        <w:tc>
          <w:tcPr>
            <w:tcW w:w="688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%50,15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04.2.2.01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Hazine Yardımı (Sermaye)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19.213.000,00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8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%0,00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04.3.1.03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Kurumlardan Alınan Şartlı Bağış ve Yardımlar (Cari)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179.482,72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04.4.1.03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Kurumlardan Alınan Şartlı Bağış ve Yardımlar (Sermaye)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87.455,38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Diğer Gelirler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05.1.9.01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Kişilerden Alacaklar Faizleri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23,19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05.3.2.99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Diğer İdari Para Cezaları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14.547,60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05.9.1.06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Kişilerden Alacaklar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8.000,79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6C6C4A" w:rsidRPr="00B94DDC" w:rsidTr="006C597B">
        <w:trPr>
          <w:trHeight w:val="300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05.9.1.99</w:t>
            </w:r>
          </w:p>
        </w:tc>
        <w:tc>
          <w:tcPr>
            <w:tcW w:w="2523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Yukarıda Tanımlanmayan Diğer Çeşitli Gelirler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218.416,18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6C6C4A" w:rsidRPr="00B94DDC" w:rsidTr="006C597B">
        <w:trPr>
          <w:trHeight w:val="433"/>
        </w:trPr>
        <w:tc>
          <w:tcPr>
            <w:tcW w:w="509" w:type="pct"/>
            <w:shd w:val="clear" w:color="auto" w:fill="auto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3" w:type="pct"/>
            <w:shd w:val="clear" w:color="auto" w:fill="C6D9F1"/>
            <w:noWrap/>
            <w:vAlign w:val="bottom"/>
            <w:hideMark/>
          </w:tcPr>
          <w:p w:rsidR="006C6C4A" w:rsidRPr="00B94DDC" w:rsidRDefault="006C6C4A" w:rsidP="006C6C4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665" w:type="pct"/>
            <w:shd w:val="clear" w:color="auto" w:fill="C6D9F1"/>
            <w:noWrap/>
            <w:vAlign w:val="center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sz w:val="20"/>
                <w:szCs w:val="20"/>
              </w:rPr>
              <w:t>37.124.000,00</w:t>
            </w:r>
          </w:p>
        </w:tc>
        <w:tc>
          <w:tcPr>
            <w:tcW w:w="614" w:type="pct"/>
            <w:shd w:val="clear" w:color="auto" w:fill="C6D9F1"/>
            <w:noWrap/>
            <w:vAlign w:val="center"/>
            <w:hideMark/>
          </w:tcPr>
          <w:p w:rsidR="006C6C4A" w:rsidRPr="00B94DDC" w:rsidRDefault="006C6C4A" w:rsidP="006C6C4A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sz w:val="20"/>
                <w:szCs w:val="20"/>
              </w:rPr>
              <w:t>9.654.484,34</w:t>
            </w:r>
          </w:p>
        </w:tc>
        <w:tc>
          <w:tcPr>
            <w:tcW w:w="688" w:type="pct"/>
            <w:shd w:val="clear" w:color="auto" w:fill="C6D9F1"/>
            <w:noWrap/>
            <w:vAlign w:val="center"/>
            <w:hideMark/>
          </w:tcPr>
          <w:p w:rsidR="006C6C4A" w:rsidRPr="00B94DDC" w:rsidRDefault="006C6C4A" w:rsidP="006C6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BA72B6" w:rsidRDefault="00BA72B6" w:rsidP="00505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CD63A6" w:rsidRDefault="00CD63A6" w:rsidP="00505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505D28" w:rsidRPr="00453622" w:rsidRDefault="00505D28" w:rsidP="00505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53622">
        <w:rPr>
          <w:rFonts w:ascii="Times New Roman" w:hAnsi="Times New Roman"/>
          <w:b/>
          <w:bCs/>
          <w:color w:val="000000"/>
        </w:rPr>
        <w:t>201</w:t>
      </w:r>
      <w:r>
        <w:rPr>
          <w:rFonts w:ascii="Times New Roman" w:hAnsi="Times New Roman"/>
          <w:b/>
          <w:bCs/>
          <w:color w:val="000000"/>
        </w:rPr>
        <w:t>1</w:t>
      </w:r>
      <w:r w:rsidRPr="00453622">
        <w:rPr>
          <w:rFonts w:ascii="Times New Roman" w:hAnsi="Times New Roman"/>
          <w:b/>
          <w:bCs/>
          <w:color w:val="000000"/>
        </w:rPr>
        <w:t>-2012 OCAK-HAZİRAN DÖNEMİ GELİR GERÇEKLEŞME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453622">
        <w:rPr>
          <w:rFonts w:ascii="Times New Roman" w:hAnsi="Times New Roman"/>
          <w:b/>
          <w:bCs/>
          <w:color w:val="000000"/>
        </w:rPr>
        <w:t>KARŞILAŞTIRILMASI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453622">
        <w:rPr>
          <w:rFonts w:ascii="Times New Roman" w:hAnsi="Times New Roman"/>
          <w:b/>
          <w:bCs/>
          <w:color w:val="000000"/>
        </w:rPr>
        <w:t>(TL)</w:t>
      </w:r>
    </w:p>
    <w:p w:rsidR="00505D28" w:rsidRPr="00453622" w:rsidRDefault="00505D28" w:rsidP="00505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9939" w:type="dxa"/>
        <w:tblBorders>
          <w:top w:val="double" w:sz="4" w:space="0" w:color="8064A2"/>
          <w:left w:val="double" w:sz="4" w:space="0" w:color="8064A2"/>
          <w:bottom w:val="double" w:sz="4" w:space="0" w:color="8064A2"/>
          <w:right w:val="double" w:sz="4" w:space="0" w:color="8064A2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2231"/>
        <w:gridCol w:w="1360"/>
        <w:gridCol w:w="1511"/>
        <w:gridCol w:w="1512"/>
        <w:gridCol w:w="1511"/>
        <w:gridCol w:w="1814"/>
      </w:tblGrid>
      <w:tr w:rsidR="005756BD" w:rsidRPr="00B94DDC" w:rsidTr="000F7E79">
        <w:trPr>
          <w:trHeight w:val="819"/>
        </w:trPr>
        <w:tc>
          <w:tcPr>
            <w:tcW w:w="2231" w:type="dxa"/>
            <w:shd w:val="clear" w:color="auto" w:fill="4F81BD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4F81BD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2011 Bütçe Tahmini </w:t>
            </w:r>
          </w:p>
        </w:tc>
        <w:tc>
          <w:tcPr>
            <w:tcW w:w="1511" w:type="dxa"/>
            <w:shd w:val="clear" w:color="auto" w:fill="4F81BD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2012 Bütçe Tahmini </w:t>
            </w:r>
          </w:p>
        </w:tc>
        <w:tc>
          <w:tcPr>
            <w:tcW w:w="1512" w:type="dxa"/>
            <w:shd w:val="clear" w:color="auto" w:fill="4F81BD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2011 Ocak-Haziran Gelir Tahakkuku</w:t>
            </w:r>
          </w:p>
        </w:tc>
        <w:tc>
          <w:tcPr>
            <w:tcW w:w="1511" w:type="dxa"/>
            <w:shd w:val="clear" w:color="auto" w:fill="4F81BD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2012 Ocak-Haziran Gelir Tahakkuku </w:t>
            </w:r>
          </w:p>
        </w:tc>
        <w:tc>
          <w:tcPr>
            <w:tcW w:w="1814" w:type="dxa"/>
            <w:shd w:val="clear" w:color="auto" w:fill="4F81BD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2011-2012 Gelir Tahakkuku Karşılaştırması</w:t>
            </w:r>
          </w:p>
        </w:tc>
      </w:tr>
      <w:tr w:rsidR="005756BD" w:rsidRPr="00B94DDC" w:rsidTr="000F7E79">
        <w:trPr>
          <w:trHeight w:val="816"/>
        </w:trPr>
        <w:tc>
          <w:tcPr>
            <w:tcW w:w="2231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03 Teşebbüs ve Mülkiyet Gelirleri </w:t>
            </w:r>
          </w:p>
        </w:tc>
        <w:tc>
          <w:tcPr>
            <w:tcW w:w="1360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848.400</w:t>
            </w:r>
          </w:p>
        </w:tc>
        <w:tc>
          <w:tcPr>
            <w:tcW w:w="1511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1.037.000</w:t>
            </w:r>
          </w:p>
        </w:tc>
        <w:tc>
          <w:tcPr>
            <w:tcW w:w="1512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462.534</w:t>
            </w:r>
          </w:p>
        </w:tc>
        <w:tc>
          <w:tcPr>
            <w:tcW w:w="1511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684.158</w:t>
            </w:r>
          </w:p>
        </w:tc>
        <w:tc>
          <w:tcPr>
            <w:tcW w:w="1814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%47 Artış</w:t>
            </w:r>
          </w:p>
        </w:tc>
      </w:tr>
      <w:tr w:rsidR="005756BD" w:rsidRPr="00B94DDC" w:rsidTr="000F7E79">
        <w:trPr>
          <w:trHeight w:val="797"/>
        </w:trPr>
        <w:tc>
          <w:tcPr>
            <w:tcW w:w="2231" w:type="dxa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 Alınan Bağ.ve Yrd.ile Özel Gel.</w:t>
            </w:r>
          </w:p>
        </w:tc>
        <w:tc>
          <w:tcPr>
            <w:tcW w:w="1360" w:type="dxa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26.220.600</w:t>
            </w:r>
          </w:p>
        </w:tc>
        <w:tc>
          <w:tcPr>
            <w:tcW w:w="1511" w:type="dxa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36.087.000</w:t>
            </w:r>
          </w:p>
        </w:tc>
        <w:tc>
          <w:tcPr>
            <w:tcW w:w="1512" w:type="dxa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10.024.024</w:t>
            </w:r>
          </w:p>
        </w:tc>
        <w:tc>
          <w:tcPr>
            <w:tcW w:w="1511" w:type="dxa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8.729.338</w:t>
            </w:r>
          </w:p>
        </w:tc>
        <w:tc>
          <w:tcPr>
            <w:tcW w:w="1814" w:type="dxa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%13 Azalış</w:t>
            </w:r>
          </w:p>
        </w:tc>
      </w:tr>
      <w:tr w:rsidR="005756BD" w:rsidRPr="00B94DDC" w:rsidTr="000F7E79">
        <w:trPr>
          <w:trHeight w:val="665"/>
        </w:trPr>
        <w:tc>
          <w:tcPr>
            <w:tcW w:w="2231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 Diğer Gelirler</w:t>
            </w:r>
          </w:p>
        </w:tc>
        <w:tc>
          <w:tcPr>
            <w:tcW w:w="1360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11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33.937</w:t>
            </w:r>
          </w:p>
        </w:tc>
        <w:tc>
          <w:tcPr>
            <w:tcW w:w="1511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240.987</w:t>
            </w:r>
          </w:p>
        </w:tc>
        <w:tc>
          <w:tcPr>
            <w:tcW w:w="1814" w:type="dxa"/>
            <w:shd w:val="clear" w:color="auto" w:fill="D3DFEE"/>
          </w:tcPr>
          <w:p w:rsidR="00505D28" w:rsidRPr="00B94DDC" w:rsidRDefault="00505D28" w:rsidP="00B94D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4DDC">
              <w:rPr>
                <w:rFonts w:ascii="Times New Roman" w:hAnsi="Times New Roman"/>
                <w:color w:val="000000"/>
              </w:rPr>
              <w:t>%610 Artış</w:t>
            </w:r>
          </w:p>
        </w:tc>
      </w:tr>
    </w:tbl>
    <w:p w:rsidR="00505D28" w:rsidRPr="00F25F4B" w:rsidRDefault="00505D28" w:rsidP="00505D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69C5" w:rsidRPr="00F25F4B" w:rsidRDefault="001E69C5" w:rsidP="0001074C">
      <w:pPr>
        <w:pStyle w:val="Balk3"/>
      </w:pPr>
      <w:r w:rsidRPr="00F25F4B">
        <w:t>03- Teşebbüs ve Mülkiyet Geliri:</w:t>
      </w:r>
    </w:p>
    <w:p w:rsidR="00FE6A0F" w:rsidRPr="00F25F4B" w:rsidRDefault="00FE6A0F" w:rsidP="00FE6A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77107E" w:rsidP="00FE6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2011</w:t>
      </w:r>
      <w:r w:rsidR="005D117B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>
        <w:rPr>
          <w:rFonts w:ascii="Times New Roman" w:hAnsi="Times New Roman"/>
          <w:color w:val="000000"/>
          <w:sz w:val="24"/>
          <w:szCs w:val="24"/>
        </w:rPr>
        <w:t>462.534,55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gelir gerçekleşirken,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17B" w:rsidRPr="0077107E">
        <w:rPr>
          <w:rFonts w:ascii="Times New Roman" w:hAnsi="Times New Roman"/>
          <w:b/>
          <w:color w:val="000000"/>
          <w:sz w:val="24"/>
          <w:szCs w:val="24"/>
        </w:rPr>
        <w:t xml:space="preserve">% </w:t>
      </w:r>
      <w:r>
        <w:rPr>
          <w:rFonts w:ascii="Times New Roman" w:hAnsi="Times New Roman"/>
          <w:b/>
          <w:color w:val="000000"/>
          <w:sz w:val="24"/>
          <w:szCs w:val="24"/>
        </w:rPr>
        <w:t>47,00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oranınd</w:t>
      </w:r>
      <w:r w:rsidR="005D117B" w:rsidRPr="00F25F4B">
        <w:rPr>
          <w:rFonts w:ascii="Times New Roman" w:hAnsi="Times New Roman"/>
          <w:color w:val="000000"/>
          <w:sz w:val="24"/>
          <w:szCs w:val="24"/>
        </w:rPr>
        <w:t xml:space="preserve">a artışla </w:t>
      </w:r>
      <w:r>
        <w:rPr>
          <w:rFonts w:ascii="Times New Roman" w:hAnsi="Times New Roman"/>
          <w:color w:val="000000"/>
          <w:sz w:val="24"/>
          <w:szCs w:val="24"/>
        </w:rPr>
        <w:t xml:space="preserve"> 684.158,48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>TL olarak gerçekleşmiştir.</w:t>
      </w:r>
    </w:p>
    <w:p w:rsidR="00FE6A0F" w:rsidRPr="00F25F4B" w:rsidRDefault="00FE6A0F" w:rsidP="00FE6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6180" w:rsidRDefault="001E69C5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Bu tertibe ilişkin gelir gerçekleşme oranı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</w:t>
      </w:r>
      <w:r w:rsidR="0077107E">
        <w:rPr>
          <w:rFonts w:ascii="Times New Roman" w:hAnsi="Times New Roman"/>
          <w:color w:val="000000"/>
          <w:sz w:val="24"/>
          <w:szCs w:val="24"/>
        </w:rPr>
        <w:t>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 w:rsidR="00C01F2E"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% </w:t>
      </w:r>
      <w:r w:rsidR="00255BAF">
        <w:rPr>
          <w:rFonts w:ascii="Times New Roman" w:hAnsi="Times New Roman"/>
          <w:b/>
          <w:bCs/>
          <w:color w:val="000000"/>
          <w:sz w:val="24"/>
          <w:szCs w:val="24"/>
        </w:rPr>
        <w:t>54,00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yılının ilk altı ayında ise </w:t>
      </w:r>
      <w:r w:rsidR="005D117B" w:rsidRPr="00F25F4B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  <w:r w:rsidR="00C01F2E"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55BAF">
        <w:rPr>
          <w:rFonts w:ascii="Times New Roman" w:hAnsi="Times New Roman"/>
          <w:b/>
          <w:bCs/>
          <w:color w:val="000000"/>
          <w:sz w:val="24"/>
          <w:szCs w:val="24"/>
        </w:rPr>
        <w:t>65,00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>‘</w:t>
      </w:r>
      <w:r w:rsidR="00255BA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dır.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</w:t>
      </w:r>
      <w:r w:rsidR="00255BAF">
        <w:rPr>
          <w:rFonts w:ascii="Times New Roman" w:hAnsi="Times New Roman"/>
          <w:color w:val="000000"/>
          <w:sz w:val="24"/>
          <w:szCs w:val="24"/>
        </w:rPr>
        <w:t>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ve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aylık gelir gerçekleşmeleri</w:t>
      </w:r>
      <w:r w:rsidR="00FE6A0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aşağıdaki tabloda aylık bazda gösterilmiştir</w:t>
      </w:r>
      <w:r w:rsidR="00DB6E82">
        <w:rPr>
          <w:rFonts w:ascii="Times New Roman" w:hAnsi="Times New Roman"/>
          <w:color w:val="000000"/>
          <w:sz w:val="24"/>
          <w:szCs w:val="24"/>
        </w:rPr>
        <w:t>.</w:t>
      </w:r>
    </w:p>
    <w:p w:rsidR="0042413D" w:rsidRDefault="0042413D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117B" w:rsidRPr="00F25F4B" w:rsidRDefault="00596808" w:rsidP="0097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93980</wp:posOffset>
            </wp:positionV>
            <wp:extent cx="6025515" cy="2986405"/>
            <wp:effectExtent l="57150" t="0" r="32385" b="42545"/>
            <wp:wrapNone/>
            <wp:docPr id="1" name="Nesnesi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7E7733" w:rsidRPr="00F25F4B" w:rsidRDefault="007E773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7E7733" w:rsidRPr="00F25F4B" w:rsidRDefault="007E773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7E7733" w:rsidRDefault="007E773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800000"/>
          <w:sz w:val="24"/>
          <w:szCs w:val="24"/>
        </w:rPr>
      </w:pPr>
    </w:p>
    <w:p w:rsidR="0001074C" w:rsidRDefault="0001074C" w:rsidP="00FE6A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69C5" w:rsidRPr="00F25F4B" w:rsidRDefault="001E69C5" w:rsidP="0001074C">
      <w:pPr>
        <w:pStyle w:val="Balk3"/>
      </w:pPr>
      <w:r w:rsidRPr="00F25F4B">
        <w:t>04- Alınan Bağış ve Yardımlar İle Özel Gelirler:</w:t>
      </w:r>
    </w:p>
    <w:p w:rsidR="009A315F" w:rsidRPr="00F25F4B" w:rsidRDefault="009A315F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A34C06" w:rsidP="00363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2011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</w:t>
      </w:r>
      <w:r w:rsidR="009A315F" w:rsidRPr="00F25F4B">
        <w:rPr>
          <w:rFonts w:ascii="Times New Roman" w:hAnsi="Times New Roman"/>
          <w:color w:val="000000"/>
          <w:sz w:val="24"/>
          <w:szCs w:val="24"/>
        </w:rPr>
        <w:t xml:space="preserve">ayında </w:t>
      </w:r>
      <w:r w:rsidR="00D21759">
        <w:rPr>
          <w:rFonts w:ascii="Times New Roman" w:hAnsi="Times New Roman"/>
          <w:color w:val="000000"/>
          <w:sz w:val="24"/>
          <w:szCs w:val="24"/>
        </w:rPr>
        <w:t>10.024.024,96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gelir gerçekleşirken,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</w:t>
      </w:r>
      <w:r w:rsidR="003635F1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1759">
        <w:rPr>
          <w:rFonts w:ascii="Times New Roman" w:hAnsi="Times New Roman"/>
          <w:b/>
          <w:color w:val="000000"/>
          <w:sz w:val="24"/>
          <w:szCs w:val="24"/>
        </w:rPr>
        <w:t>% 13,00</w:t>
      </w:r>
      <w:r w:rsidR="009A315F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5F85" w:rsidRPr="00F25F4B">
        <w:rPr>
          <w:rFonts w:ascii="Times New Roman" w:hAnsi="Times New Roman"/>
          <w:color w:val="000000"/>
          <w:sz w:val="24"/>
          <w:szCs w:val="24"/>
        </w:rPr>
        <w:t xml:space="preserve">oranında </w:t>
      </w:r>
      <w:r w:rsidR="00D21759">
        <w:rPr>
          <w:rFonts w:ascii="Times New Roman" w:hAnsi="Times New Roman"/>
          <w:color w:val="000000"/>
          <w:sz w:val="24"/>
          <w:szCs w:val="24"/>
        </w:rPr>
        <w:t xml:space="preserve">azalma </w:t>
      </w:r>
      <w:r w:rsidR="000C5F85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1759">
        <w:rPr>
          <w:rFonts w:ascii="Times New Roman" w:hAnsi="Times New Roman"/>
          <w:color w:val="000000"/>
          <w:sz w:val="24"/>
          <w:szCs w:val="24"/>
        </w:rPr>
        <w:t xml:space="preserve">8.729.338,10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TL olarak gerçekleşmiştir.</w:t>
      </w:r>
    </w:p>
    <w:p w:rsidR="003635F1" w:rsidRPr="00F25F4B" w:rsidRDefault="003635F1" w:rsidP="00363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1E69C5" w:rsidP="00363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Bu tertibe ilişkin gelir gerçekleşme oranı </w:t>
      </w:r>
      <w:r w:rsidR="00A34C06">
        <w:rPr>
          <w:rFonts w:ascii="Times New Roman" w:hAnsi="Times New Roman"/>
          <w:color w:val="000000"/>
          <w:sz w:val="24"/>
          <w:szCs w:val="24"/>
        </w:rPr>
        <w:t>2011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  <w:r w:rsidR="000C5F85"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21759">
        <w:rPr>
          <w:rFonts w:ascii="Times New Roman" w:hAnsi="Times New Roman"/>
          <w:b/>
          <w:bCs/>
          <w:color w:val="000000"/>
          <w:sz w:val="24"/>
          <w:szCs w:val="24"/>
        </w:rPr>
        <w:t xml:space="preserve">38,00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3635F1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yılının ilk altı ayında ise </w:t>
      </w:r>
      <w:r w:rsidR="000C5F85"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% </w:t>
      </w:r>
      <w:r w:rsidR="00D21759">
        <w:rPr>
          <w:rFonts w:ascii="Times New Roman" w:hAnsi="Times New Roman"/>
          <w:b/>
          <w:bCs/>
          <w:color w:val="000000"/>
          <w:sz w:val="24"/>
          <w:szCs w:val="24"/>
        </w:rPr>
        <w:t xml:space="preserve">24,00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dir. </w:t>
      </w:r>
      <w:r w:rsidR="00A34C06">
        <w:rPr>
          <w:rFonts w:ascii="Times New Roman" w:hAnsi="Times New Roman"/>
          <w:color w:val="000000"/>
          <w:sz w:val="24"/>
          <w:szCs w:val="24"/>
        </w:rPr>
        <w:t xml:space="preserve">2011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ve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aylık gelir gerçekleşmeleri</w:t>
      </w:r>
      <w:r w:rsidR="003635F1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aşağıdaki tabloda aylık bazda gösterilmiştir</w:t>
      </w:r>
      <w:r w:rsidR="003635F1" w:rsidRPr="00F25F4B">
        <w:rPr>
          <w:rFonts w:ascii="Times New Roman" w:hAnsi="Times New Roman"/>
          <w:color w:val="000000"/>
          <w:sz w:val="24"/>
          <w:szCs w:val="24"/>
        </w:rPr>
        <w:t>.</w:t>
      </w:r>
    </w:p>
    <w:p w:rsidR="00A03367" w:rsidRPr="00F25F4B" w:rsidRDefault="00A03367" w:rsidP="00CB0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03367" w:rsidRDefault="00596808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6985</wp:posOffset>
            </wp:positionV>
            <wp:extent cx="6317615" cy="3036570"/>
            <wp:effectExtent l="57150" t="0" r="45085" b="30480"/>
            <wp:wrapNone/>
            <wp:docPr id="3" name="Nesnes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AF6AB1" w:rsidRDefault="00AF6AB1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F6AB1" w:rsidRDefault="00AF6AB1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36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A6178" w:rsidRPr="00F25F4B" w:rsidRDefault="00EA6178" w:rsidP="0001074C">
      <w:pPr>
        <w:pStyle w:val="Balk3"/>
      </w:pPr>
      <w:r w:rsidRPr="00F25F4B">
        <w:lastRenderedPageBreak/>
        <w:t xml:space="preserve">05- </w:t>
      </w:r>
      <w:r w:rsidR="006C6C4A">
        <w:t>Diğer Gelirler</w:t>
      </w:r>
    </w:p>
    <w:p w:rsidR="00EA6178" w:rsidRPr="00F25F4B" w:rsidRDefault="00EA6178" w:rsidP="00EA6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A6178" w:rsidRPr="00F25F4B" w:rsidRDefault="00CB0212" w:rsidP="00AC5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201</w:t>
      </w:r>
      <w:r w:rsidR="00A34C06">
        <w:rPr>
          <w:rFonts w:ascii="Times New Roman" w:hAnsi="Times New Roman"/>
          <w:color w:val="000000"/>
          <w:sz w:val="24"/>
          <w:szCs w:val="24"/>
        </w:rPr>
        <w:t>1</w:t>
      </w:r>
      <w:r w:rsidR="00EA6178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 </w:t>
      </w:r>
      <w:r w:rsidR="00081BE2">
        <w:rPr>
          <w:rFonts w:ascii="Times New Roman" w:hAnsi="Times New Roman"/>
          <w:color w:val="000000"/>
          <w:sz w:val="24"/>
          <w:szCs w:val="24"/>
        </w:rPr>
        <w:t xml:space="preserve">33.937,62 </w:t>
      </w:r>
      <w:r w:rsidR="00EA6178" w:rsidRPr="00F25F4B">
        <w:rPr>
          <w:rFonts w:ascii="Times New Roman" w:hAnsi="Times New Roman"/>
          <w:color w:val="000000"/>
          <w:sz w:val="24"/>
          <w:szCs w:val="24"/>
        </w:rPr>
        <w:t xml:space="preserve">TL gelir gerçekleşirken, </w:t>
      </w:r>
      <w:r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EA6178"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ayında</w:t>
      </w:r>
      <w:r w:rsidR="00AC5A2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6178" w:rsidRPr="00081BE2">
        <w:rPr>
          <w:rFonts w:ascii="Times New Roman" w:hAnsi="Times New Roman"/>
          <w:b/>
          <w:color w:val="000000"/>
          <w:sz w:val="24"/>
          <w:szCs w:val="24"/>
        </w:rPr>
        <w:t>%</w:t>
      </w:r>
      <w:r w:rsidR="00081BE2" w:rsidRPr="0008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81BE2">
        <w:rPr>
          <w:rFonts w:ascii="Times New Roman" w:hAnsi="Times New Roman"/>
          <w:b/>
          <w:color w:val="000000"/>
          <w:sz w:val="24"/>
          <w:szCs w:val="24"/>
        </w:rPr>
        <w:t>609,00</w:t>
      </w:r>
      <w:r w:rsidR="00EA6178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597">
        <w:rPr>
          <w:rFonts w:ascii="Times New Roman" w:hAnsi="Times New Roman"/>
          <w:color w:val="000000"/>
          <w:sz w:val="24"/>
          <w:szCs w:val="24"/>
        </w:rPr>
        <w:t>o</w:t>
      </w:r>
      <w:r w:rsidR="00EA6178" w:rsidRPr="00F25F4B">
        <w:rPr>
          <w:rFonts w:ascii="Times New Roman" w:hAnsi="Times New Roman"/>
          <w:color w:val="000000"/>
          <w:sz w:val="24"/>
          <w:szCs w:val="24"/>
        </w:rPr>
        <w:t xml:space="preserve">ranında artışla </w:t>
      </w:r>
      <w:r w:rsidR="00081BE2">
        <w:rPr>
          <w:rFonts w:ascii="Times New Roman" w:hAnsi="Times New Roman"/>
          <w:color w:val="000000"/>
          <w:sz w:val="24"/>
          <w:szCs w:val="24"/>
        </w:rPr>
        <w:t>240.987,76</w:t>
      </w:r>
      <w:r w:rsidR="00EA6178" w:rsidRPr="00F25F4B">
        <w:rPr>
          <w:rFonts w:ascii="Times New Roman" w:hAnsi="Times New Roman"/>
          <w:color w:val="000000"/>
          <w:sz w:val="24"/>
          <w:szCs w:val="24"/>
        </w:rPr>
        <w:t>9 TL olarak gerçekleşmiştir.</w:t>
      </w:r>
    </w:p>
    <w:p w:rsidR="00AC5A29" w:rsidRPr="00F25F4B" w:rsidRDefault="00AC5A29" w:rsidP="00AC5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3367" w:rsidRDefault="00EA6178" w:rsidP="00A033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Bu tertibe ilişkin gelir gerçekleşme oranı </w:t>
      </w:r>
      <w:r w:rsidR="00A34C06">
        <w:rPr>
          <w:rFonts w:ascii="Times New Roman" w:hAnsi="Times New Roman"/>
          <w:color w:val="000000"/>
          <w:sz w:val="24"/>
          <w:szCs w:val="24"/>
        </w:rPr>
        <w:t xml:space="preserve">2011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yılının ilk altı ayında 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  <w:r w:rsidR="00C776E5"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A6C70">
        <w:rPr>
          <w:rFonts w:ascii="Times New Roman" w:hAnsi="Times New Roman"/>
          <w:b/>
          <w:bCs/>
          <w:color w:val="000000"/>
          <w:sz w:val="24"/>
          <w:szCs w:val="24"/>
        </w:rPr>
        <w:t xml:space="preserve">0 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AC5A2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yılının ilk altı ayında ise </w:t>
      </w:r>
      <w:r w:rsidRPr="00F25F4B">
        <w:rPr>
          <w:rFonts w:ascii="Times New Roman" w:hAnsi="Times New Roman"/>
          <w:b/>
          <w:bCs/>
          <w:color w:val="000000"/>
          <w:sz w:val="24"/>
          <w:szCs w:val="24"/>
        </w:rPr>
        <w:t>% 0‘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dir. </w:t>
      </w:r>
      <w:r w:rsidR="00A34C06">
        <w:rPr>
          <w:rFonts w:ascii="Times New Roman" w:hAnsi="Times New Roman"/>
          <w:color w:val="000000"/>
          <w:sz w:val="24"/>
          <w:szCs w:val="24"/>
        </w:rPr>
        <w:t>2011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ve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yılının ilk altı aylık gelir gerçekleşmeleri</w:t>
      </w:r>
      <w:r w:rsidR="00AC5A29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aşağıdaki tabloda aylık bazda gösterilmiştir</w:t>
      </w:r>
      <w:r w:rsidR="00AC5A29" w:rsidRPr="00F25F4B">
        <w:rPr>
          <w:rFonts w:ascii="Times New Roman" w:hAnsi="Times New Roman"/>
          <w:color w:val="000000"/>
          <w:sz w:val="24"/>
          <w:szCs w:val="24"/>
        </w:rPr>
        <w:t>.</w:t>
      </w:r>
    </w:p>
    <w:p w:rsidR="00A03367" w:rsidRPr="00F25F4B" w:rsidRDefault="00596808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167005</wp:posOffset>
            </wp:positionV>
            <wp:extent cx="6154420" cy="2639695"/>
            <wp:effectExtent l="57150" t="0" r="36830" b="46355"/>
            <wp:wrapNone/>
            <wp:docPr id="2" name="Nesnes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CB0212" w:rsidRPr="00F25F4B" w:rsidRDefault="00CB0212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03367" w:rsidRDefault="00A03367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D18B3" w:rsidRDefault="00ED18B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413D" w:rsidRDefault="0042413D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76180" w:rsidRDefault="00976180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1E69C5" w:rsidP="0001074C">
      <w:pPr>
        <w:pStyle w:val="Balk2"/>
      </w:pPr>
      <w:r w:rsidRPr="00F25F4B">
        <w:t>C. Finansman</w:t>
      </w:r>
    </w:p>
    <w:p w:rsidR="00AC5A29" w:rsidRPr="00F25F4B" w:rsidRDefault="00AC5A29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257196" w:rsidRPr="00F25F4B" w:rsidRDefault="001E69C5" w:rsidP="00290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Üniversitemiz 5018 Sayılı Kamu Mali Yönetimi ve Kontrol Kanunu hükümleri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çerçevesinde giderlerini, yıl içinde elde ettiği özel gelirler ve hazineden aldığı yardımlar ile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karşılamaktadır. 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>Yılsonunda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elde edilen özel gelirlerden harcanamayan kısım bir sonraki yılın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giderlerine finansman olmak üzere devri gerçekleştirilmektedir.</w:t>
      </w:r>
    </w:p>
    <w:p w:rsidR="001E69C5" w:rsidRPr="00F25F4B" w:rsidRDefault="001E69C5" w:rsidP="0001074C">
      <w:pPr>
        <w:pStyle w:val="Balk1"/>
      </w:pPr>
      <w:r w:rsidRPr="00F25F4B">
        <w:t xml:space="preserve">I. OCAK-HAZİRAN </w:t>
      </w:r>
      <w:r w:rsidR="00CB0212" w:rsidRPr="00F25F4B">
        <w:t>2012</w:t>
      </w:r>
      <w:r w:rsidRPr="00F25F4B">
        <w:t xml:space="preserve"> DÖNEMİNDE YÜRÜTÜLEN FAALİYETLER</w:t>
      </w:r>
    </w:p>
    <w:p w:rsidR="009223DA" w:rsidRPr="00F25F4B" w:rsidRDefault="009223DA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E69C5" w:rsidRPr="00F25F4B" w:rsidRDefault="001E69C5" w:rsidP="00D0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5944 sayılı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 Bütçe Kanunu ile Üniversitemize tahsis edilen ödeneklerin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kullanımına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ilişkin Ayrıntılı Harcama Programı 5018 sayılı Kanunun 20. maddesi gereğince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Maliye Bakanlığı Bütçe ve Mali Kontrol Genel Müdürlüğü’nün icmal cetvellerine uygun olarak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vize edilmiştir.</w:t>
      </w:r>
    </w:p>
    <w:p w:rsidR="009223DA" w:rsidRPr="00F25F4B" w:rsidRDefault="009223DA" w:rsidP="00D0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23DA" w:rsidRPr="00F25F4B" w:rsidRDefault="00CB0212" w:rsidP="00D0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 Ocak-Haziran döneminde Üniversitemiz ihtiyaçları doğrultusunda Maliye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>Bakanlığınca vize edilen ve ödeneklerin kullanımında Ayrıntılı Harcama Programındaki limitler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dahilinde, </w:t>
      </w:r>
      <w:r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 Bütçe Uygulama Tebliğlerinde yer alan esas ve usuller dikkate alınarak,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>Başbakanlıkça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>yayınlanan tasarruf genelgelerine uygun olarak harcama yapılmaktadır.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23DA" w:rsidRPr="00F25F4B" w:rsidRDefault="009223DA" w:rsidP="00D0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1E69C5" w:rsidP="00D0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Bu döneme ilişkin olarak, Akademik ve İdari hizmetlerinin istenilen düzeyde ve kalitede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sunulabilmesi amacıyla tahsis edilen kaynakların, bütçe ve gider mevzuatına uygun olarak etkili,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ekonomik ve verimli bir şekilde kullanılmasına devam edilecektir</w:t>
      </w:r>
      <w:r w:rsidR="009223DA" w:rsidRPr="00F25F4B">
        <w:rPr>
          <w:rFonts w:ascii="Times New Roman" w:hAnsi="Times New Roman"/>
          <w:color w:val="000000"/>
          <w:sz w:val="24"/>
          <w:szCs w:val="24"/>
        </w:rPr>
        <w:t>.</w:t>
      </w:r>
    </w:p>
    <w:p w:rsidR="009223DA" w:rsidRDefault="009223DA" w:rsidP="00D0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74D8" w:rsidRDefault="000374D8" w:rsidP="00D0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74D8" w:rsidRDefault="000374D8" w:rsidP="00D0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Default="00CB0212" w:rsidP="00061C9D">
      <w:pPr>
        <w:pStyle w:val="Balk3"/>
      </w:pPr>
      <w:r w:rsidRPr="00061C9D">
        <w:lastRenderedPageBreak/>
        <w:t>2012</w:t>
      </w:r>
      <w:r w:rsidR="00061C9D" w:rsidRPr="00061C9D">
        <w:t xml:space="preserve"> </w:t>
      </w:r>
      <w:r w:rsidR="0044259B">
        <w:t xml:space="preserve">Ocak – Haziran Dönemi </w:t>
      </w:r>
      <w:r w:rsidR="001E69C5" w:rsidRPr="00F25F4B">
        <w:t>Sermaye Giderleri Harcamaları</w:t>
      </w:r>
      <w:r w:rsidR="00563132">
        <w:t xml:space="preserve"> ve Beklentiler</w:t>
      </w:r>
    </w:p>
    <w:p w:rsidR="001B5216" w:rsidRDefault="001B5216" w:rsidP="001B5216"/>
    <w:tbl>
      <w:tblPr>
        <w:tblW w:w="4864" w:type="pct"/>
        <w:tblInd w:w="70" w:type="dxa"/>
        <w:tblBorders>
          <w:top w:val="thickThinSmallGap" w:sz="36" w:space="0" w:color="548DD4"/>
          <w:left w:val="thickThinSmallGap" w:sz="36" w:space="0" w:color="548DD4"/>
          <w:bottom w:val="thickThinSmallGap" w:sz="36" w:space="0" w:color="548DD4"/>
          <w:right w:val="thickThinSmallGap" w:sz="36" w:space="0" w:color="548DD4"/>
          <w:insideH w:val="single" w:sz="12" w:space="0" w:color="548DD4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2787"/>
        <w:gridCol w:w="1515"/>
        <w:gridCol w:w="1151"/>
        <w:gridCol w:w="2361"/>
      </w:tblGrid>
      <w:tr w:rsidR="001B5216" w:rsidRPr="00B94DDC" w:rsidTr="00536760">
        <w:trPr>
          <w:trHeight w:val="339"/>
        </w:trPr>
        <w:tc>
          <w:tcPr>
            <w:tcW w:w="5000" w:type="pct"/>
            <w:gridSpan w:val="5"/>
            <w:tcBorders>
              <w:bottom w:val="single" w:sz="12" w:space="0" w:color="548DD4"/>
            </w:tcBorders>
            <w:shd w:val="clear" w:color="auto" w:fill="548DD4"/>
            <w:noWrap/>
            <w:vAlign w:val="bottom"/>
            <w:hideMark/>
          </w:tcPr>
          <w:p w:rsidR="001B5216" w:rsidRPr="00B94DDC" w:rsidRDefault="001B5216" w:rsidP="00DE5418">
            <w:pPr>
              <w:shd w:val="clear" w:color="auto" w:fill="92D05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2012 Yılı Ocak-Haziran Dönemi  Yatırım Projeleri Uygulamaları Tablosu</w:t>
            </w:r>
          </w:p>
        </w:tc>
      </w:tr>
      <w:tr w:rsidR="001B5216" w:rsidRPr="00B94DDC" w:rsidTr="00536760">
        <w:trPr>
          <w:trHeight w:val="339"/>
        </w:trPr>
        <w:tc>
          <w:tcPr>
            <w:tcW w:w="940" w:type="pct"/>
            <w:tcBorders>
              <w:top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6D9F1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144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6D9F1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Proje Adı</w:t>
            </w:r>
          </w:p>
        </w:tc>
        <w:tc>
          <w:tcPr>
            <w:tcW w:w="78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6D9F1"/>
            <w:noWrap/>
            <w:vAlign w:val="bottom"/>
            <w:hideMark/>
          </w:tcPr>
          <w:p w:rsidR="001B5216" w:rsidRPr="00B94DDC" w:rsidRDefault="001B5216" w:rsidP="001B521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Ödenek</w:t>
            </w:r>
          </w:p>
        </w:tc>
        <w:tc>
          <w:tcPr>
            <w:tcW w:w="59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6D9F1"/>
            <w:noWrap/>
            <w:vAlign w:val="bottom"/>
            <w:hideMark/>
          </w:tcPr>
          <w:p w:rsidR="001B5216" w:rsidRPr="00B94DDC" w:rsidRDefault="001B5216" w:rsidP="001B521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Eklenen</w:t>
            </w:r>
          </w:p>
        </w:tc>
        <w:tc>
          <w:tcPr>
            <w:tcW w:w="122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</w:tcBorders>
            <w:shd w:val="clear" w:color="auto" w:fill="C6D9F1"/>
            <w:noWrap/>
            <w:vAlign w:val="bottom"/>
            <w:hideMark/>
          </w:tcPr>
          <w:p w:rsidR="001B5216" w:rsidRPr="00B94DDC" w:rsidRDefault="001B5216" w:rsidP="001B521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Harcama</w:t>
            </w:r>
          </w:p>
        </w:tc>
      </w:tr>
      <w:tr w:rsidR="001B5216" w:rsidRPr="00B94DDC" w:rsidTr="00536760">
        <w:trPr>
          <w:trHeight w:val="339"/>
        </w:trPr>
        <w:tc>
          <w:tcPr>
            <w:tcW w:w="940" w:type="pct"/>
            <w:tcBorders>
              <w:top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2011H032460</w:t>
            </w:r>
          </w:p>
        </w:tc>
        <w:tc>
          <w:tcPr>
            <w:tcW w:w="144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Çeşitli Ünitelerin Etud Projesi</w:t>
            </w:r>
          </w:p>
        </w:tc>
        <w:tc>
          <w:tcPr>
            <w:tcW w:w="78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98.000,00</w:t>
            </w:r>
          </w:p>
        </w:tc>
        <w:tc>
          <w:tcPr>
            <w:tcW w:w="59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F646A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43.783,00</w:t>
            </w:r>
          </w:p>
        </w:tc>
      </w:tr>
      <w:tr w:rsidR="001B5216" w:rsidRPr="00B94DDC" w:rsidTr="00536760">
        <w:trPr>
          <w:trHeight w:val="339"/>
        </w:trPr>
        <w:tc>
          <w:tcPr>
            <w:tcW w:w="940" w:type="pct"/>
            <w:tcBorders>
              <w:top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2011H032470</w:t>
            </w:r>
          </w:p>
        </w:tc>
        <w:tc>
          <w:tcPr>
            <w:tcW w:w="144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Muhtelif İşler </w:t>
            </w:r>
          </w:p>
        </w:tc>
        <w:tc>
          <w:tcPr>
            <w:tcW w:w="78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2.400.000,00</w:t>
            </w:r>
          </w:p>
        </w:tc>
        <w:tc>
          <w:tcPr>
            <w:tcW w:w="59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F646A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1.001.487,76</w:t>
            </w:r>
          </w:p>
        </w:tc>
      </w:tr>
      <w:tr w:rsidR="001B5216" w:rsidRPr="00B94DDC" w:rsidTr="00536760">
        <w:trPr>
          <w:trHeight w:val="339"/>
        </w:trPr>
        <w:tc>
          <w:tcPr>
            <w:tcW w:w="940" w:type="pct"/>
            <w:tcBorders>
              <w:top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2009H031340</w:t>
            </w:r>
          </w:p>
        </w:tc>
        <w:tc>
          <w:tcPr>
            <w:tcW w:w="144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Kampus Alt Yapısı </w:t>
            </w:r>
          </w:p>
        </w:tc>
        <w:tc>
          <w:tcPr>
            <w:tcW w:w="78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3.000.000,00</w:t>
            </w:r>
          </w:p>
        </w:tc>
        <w:tc>
          <w:tcPr>
            <w:tcW w:w="59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F646A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1.449.099,00</w:t>
            </w:r>
          </w:p>
        </w:tc>
      </w:tr>
      <w:tr w:rsidR="001B5216" w:rsidRPr="00B94DDC" w:rsidTr="00536760">
        <w:trPr>
          <w:trHeight w:val="339"/>
        </w:trPr>
        <w:tc>
          <w:tcPr>
            <w:tcW w:w="940" w:type="pct"/>
            <w:tcBorders>
              <w:top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2011H050060</w:t>
            </w:r>
          </w:p>
        </w:tc>
        <w:tc>
          <w:tcPr>
            <w:tcW w:w="144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Açık ve Kapalı Spor Tesisi </w:t>
            </w:r>
          </w:p>
        </w:tc>
        <w:tc>
          <w:tcPr>
            <w:tcW w:w="78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B5C29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2.000.0000</w:t>
            </w:r>
          </w:p>
        </w:tc>
        <w:tc>
          <w:tcPr>
            <w:tcW w:w="59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F646A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</w:tcBorders>
            <w:shd w:val="clear" w:color="auto" w:fill="auto"/>
            <w:noWrap/>
            <w:vAlign w:val="center"/>
            <w:hideMark/>
          </w:tcPr>
          <w:p w:rsidR="001B5216" w:rsidRPr="00B94DDC" w:rsidRDefault="000B5C29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5216" w:rsidRPr="00B94DDC" w:rsidTr="00536760">
        <w:trPr>
          <w:trHeight w:val="339"/>
        </w:trPr>
        <w:tc>
          <w:tcPr>
            <w:tcW w:w="940" w:type="pct"/>
            <w:tcBorders>
              <w:top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2009H031360</w:t>
            </w:r>
          </w:p>
        </w:tc>
        <w:tc>
          <w:tcPr>
            <w:tcW w:w="144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Lojman ve Sosyal Tesisler </w:t>
            </w:r>
          </w:p>
        </w:tc>
        <w:tc>
          <w:tcPr>
            <w:tcW w:w="78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B5C29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2.000.000,00</w:t>
            </w:r>
          </w:p>
        </w:tc>
        <w:tc>
          <w:tcPr>
            <w:tcW w:w="59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F646A" w:rsidP="000F64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</w:tcBorders>
            <w:shd w:val="clear" w:color="auto" w:fill="auto"/>
            <w:noWrap/>
            <w:vAlign w:val="center"/>
            <w:hideMark/>
          </w:tcPr>
          <w:p w:rsidR="001B5216" w:rsidRPr="00B94DDC" w:rsidRDefault="000B5C29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688.488,70</w:t>
            </w:r>
          </w:p>
        </w:tc>
      </w:tr>
      <w:tr w:rsidR="001B5216" w:rsidRPr="00B94DDC" w:rsidTr="00536760">
        <w:trPr>
          <w:trHeight w:val="339"/>
        </w:trPr>
        <w:tc>
          <w:tcPr>
            <w:tcW w:w="940" w:type="pct"/>
            <w:tcBorders>
              <w:top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2010K121000</w:t>
            </w:r>
          </w:p>
        </w:tc>
        <w:tc>
          <w:tcPr>
            <w:tcW w:w="144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Merkezi Araştırma Laboratuarı </w:t>
            </w:r>
          </w:p>
        </w:tc>
        <w:tc>
          <w:tcPr>
            <w:tcW w:w="78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B5C29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1.713.000,00</w:t>
            </w:r>
          </w:p>
        </w:tc>
        <w:tc>
          <w:tcPr>
            <w:tcW w:w="59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F646A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341571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157.176,00</w:t>
            </w:r>
          </w:p>
        </w:tc>
      </w:tr>
      <w:tr w:rsidR="001B5216" w:rsidRPr="00B94DDC" w:rsidTr="00536760">
        <w:trPr>
          <w:trHeight w:val="339"/>
        </w:trPr>
        <w:tc>
          <w:tcPr>
            <w:tcW w:w="940" w:type="pct"/>
            <w:tcBorders>
              <w:top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2009H031350</w:t>
            </w:r>
          </w:p>
        </w:tc>
        <w:tc>
          <w:tcPr>
            <w:tcW w:w="144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Derslik ve Merkezi birimler </w:t>
            </w:r>
          </w:p>
        </w:tc>
        <w:tc>
          <w:tcPr>
            <w:tcW w:w="787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F646A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7.400.000,00</w:t>
            </w:r>
          </w:p>
        </w:tc>
        <w:tc>
          <w:tcPr>
            <w:tcW w:w="59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F646A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pct"/>
            <w:tcBorders>
              <w:top w:val="single" w:sz="12" w:space="0" w:color="548DD4"/>
              <w:left w:val="single" w:sz="12" w:space="0" w:color="548DD4"/>
              <w:bottom w:val="single" w:sz="12" w:space="0" w:color="548DD4"/>
            </w:tcBorders>
            <w:shd w:val="clear" w:color="auto" w:fill="auto"/>
            <w:noWrap/>
            <w:vAlign w:val="bottom"/>
            <w:hideMark/>
          </w:tcPr>
          <w:p w:rsidR="001B5216" w:rsidRPr="00B94DDC" w:rsidRDefault="000F646A" w:rsidP="00DE541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color w:val="000000"/>
                <w:sz w:val="20"/>
                <w:szCs w:val="20"/>
              </w:rPr>
              <w:t>2.524.076,75</w:t>
            </w:r>
          </w:p>
        </w:tc>
      </w:tr>
      <w:tr w:rsidR="001B5216" w:rsidRPr="00B94DDC" w:rsidTr="00536760">
        <w:trPr>
          <w:trHeight w:val="235"/>
        </w:trPr>
        <w:tc>
          <w:tcPr>
            <w:tcW w:w="2388" w:type="pct"/>
            <w:gridSpan w:val="2"/>
            <w:tcBorders>
              <w:top w:val="single" w:sz="12" w:space="0" w:color="548DD4"/>
            </w:tcBorders>
            <w:shd w:val="clear" w:color="auto" w:fill="C6D9F1"/>
            <w:noWrap/>
            <w:vAlign w:val="center"/>
            <w:hideMark/>
          </w:tcPr>
          <w:p w:rsidR="001B5216" w:rsidRPr="00B94DDC" w:rsidRDefault="001B5216" w:rsidP="00DE54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4D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787" w:type="pct"/>
            <w:tcBorders>
              <w:top w:val="single" w:sz="12" w:space="0" w:color="548DD4"/>
            </w:tcBorders>
            <w:shd w:val="clear" w:color="auto" w:fill="C6D9F1"/>
            <w:noWrap/>
            <w:vAlign w:val="center"/>
            <w:hideMark/>
          </w:tcPr>
          <w:p w:rsidR="001B5216" w:rsidRPr="00B94DDC" w:rsidRDefault="001B5216" w:rsidP="00DE541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12" w:space="0" w:color="548DD4"/>
            </w:tcBorders>
            <w:shd w:val="clear" w:color="auto" w:fill="C6D9F1"/>
            <w:noWrap/>
            <w:vAlign w:val="center"/>
            <w:hideMark/>
          </w:tcPr>
          <w:p w:rsidR="001B5216" w:rsidRPr="00B94DDC" w:rsidRDefault="001B5216" w:rsidP="00DE541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tcBorders>
              <w:top w:val="single" w:sz="12" w:space="0" w:color="548DD4"/>
            </w:tcBorders>
            <w:shd w:val="clear" w:color="auto" w:fill="C6D9F1"/>
            <w:noWrap/>
            <w:vAlign w:val="center"/>
            <w:hideMark/>
          </w:tcPr>
          <w:p w:rsidR="001B5216" w:rsidRPr="00B94DDC" w:rsidRDefault="001B5216" w:rsidP="00DE541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C0D93" w:rsidRPr="001B5216" w:rsidRDefault="003C0D93" w:rsidP="001B5216"/>
    <w:p w:rsidR="00AC6630" w:rsidRPr="00B46BCA" w:rsidRDefault="00AC6630" w:rsidP="000F646A">
      <w:pPr>
        <w:pStyle w:val="ListeParagraf"/>
        <w:numPr>
          <w:ilvl w:val="0"/>
          <w:numId w:val="4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6BCA">
        <w:rPr>
          <w:rFonts w:ascii="Times New Roman" w:hAnsi="Times New Roman"/>
          <w:sz w:val="24"/>
          <w:szCs w:val="24"/>
        </w:rPr>
        <w:t xml:space="preserve">2012 yılında 06.5.7.01 Hizmet Binası giderleri için </w:t>
      </w:r>
      <w:r w:rsidR="00563132" w:rsidRPr="00B46BCA">
        <w:rPr>
          <w:rFonts w:ascii="Times New Roman" w:hAnsi="Times New Roman"/>
          <w:sz w:val="24"/>
          <w:szCs w:val="24"/>
        </w:rPr>
        <w:t>7.400.00</w:t>
      </w:r>
      <w:r w:rsidR="006E1888" w:rsidRPr="00B46BCA">
        <w:rPr>
          <w:rFonts w:ascii="Times New Roman" w:hAnsi="Times New Roman"/>
          <w:sz w:val="24"/>
          <w:szCs w:val="24"/>
        </w:rPr>
        <w:t>0 TL ödenek verilmiş olup Ocak-H</w:t>
      </w:r>
      <w:r w:rsidR="00563132" w:rsidRPr="00B46BCA">
        <w:rPr>
          <w:rFonts w:ascii="Times New Roman" w:hAnsi="Times New Roman"/>
          <w:sz w:val="24"/>
          <w:szCs w:val="24"/>
        </w:rPr>
        <w:t>azi</w:t>
      </w:r>
      <w:r w:rsidR="006E1888" w:rsidRPr="00B46BCA">
        <w:rPr>
          <w:rFonts w:ascii="Times New Roman" w:hAnsi="Times New Roman"/>
          <w:sz w:val="24"/>
          <w:szCs w:val="24"/>
        </w:rPr>
        <w:t>r</w:t>
      </w:r>
      <w:r w:rsidR="00563132" w:rsidRPr="00B46BCA">
        <w:rPr>
          <w:rFonts w:ascii="Times New Roman" w:hAnsi="Times New Roman"/>
          <w:sz w:val="24"/>
          <w:szCs w:val="24"/>
        </w:rPr>
        <w:t xml:space="preserve">an döneminde 2.524.076,75 TL lik harcama gerçekleşmiştir. Bu kalem altında </w:t>
      </w:r>
      <w:r w:rsidR="000B5C29">
        <w:rPr>
          <w:rFonts w:ascii="Times New Roman" w:hAnsi="Times New Roman"/>
          <w:sz w:val="24"/>
          <w:szCs w:val="24"/>
        </w:rPr>
        <w:t>Derslik ve Merkezi Birimler Projesi olup 4 adet bina yapımı devam etmektedir.</w:t>
      </w:r>
      <w:r w:rsidRPr="00B46BCA">
        <w:rPr>
          <w:rFonts w:ascii="Times New Roman" w:hAnsi="Times New Roman"/>
          <w:sz w:val="24"/>
          <w:szCs w:val="24"/>
        </w:rPr>
        <w:t xml:space="preserve"> </w:t>
      </w:r>
    </w:p>
    <w:p w:rsidR="003C0D93" w:rsidRDefault="003C0D93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6630" w:rsidRDefault="00AC6630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6630">
        <w:rPr>
          <w:rFonts w:ascii="Times New Roman" w:hAnsi="Times New Roman"/>
          <w:b/>
          <w:bCs/>
          <w:color w:val="000000"/>
          <w:sz w:val="24"/>
          <w:szCs w:val="24"/>
        </w:rPr>
        <w:t xml:space="preserve">1. 2009H031350 </w:t>
      </w:r>
      <w:r w:rsidRPr="00AC6630">
        <w:rPr>
          <w:rFonts w:ascii="Times New Roman" w:hAnsi="Times New Roman"/>
          <w:b/>
          <w:color w:val="000000"/>
          <w:sz w:val="24"/>
          <w:szCs w:val="24"/>
        </w:rPr>
        <w:t>Ziraat Fakültesi Yapım İşi</w:t>
      </w:r>
    </w:p>
    <w:p w:rsidR="00AC6630" w:rsidRDefault="00AC6630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1888" w:rsidRPr="00563132" w:rsidRDefault="006E1888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563132">
        <w:rPr>
          <w:rFonts w:ascii="Times New Roman" w:hAnsi="Times New Roman"/>
          <w:b/>
          <w:color w:val="000000"/>
          <w:sz w:val="24"/>
          <w:szCs w:val="24"/>
        </w:rPr>
        <w:t>Proje Bedeli:</w:t>
      </w:r>
      <w:r>
        <w:rPr>
          <w:rFonts w:ascii="Times New Roman" w:hAnsi="Times New Roman"/>
          <w:color w:val="000000"/>
          <w:sz w:val="24"/>
          <w:szCs w:val="24"/>
        </w:rPr>
        <w:t xml:space="preserve"> 18.172.</w:t>
      </w:r>
      <w:r w:rsidRPr="00563132">
        <w:rPr>
          <w:rFonts w:ascii="Times New Roman" w:hAnsi="Times New Roman"/>
          <w:color w:val="000000"/>
          <w:sz w:val="24"/>
          <w:szCs w:val="24"/>
        </w:rPr>
        <w:t>00,00 TL</w:t>
      </w:r>
    </w:p>
    <w:p w:rsidR="006E1888" w:rsidRDefault="006E1888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63132" w:rsidRDefault="00563132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2012 yılında bu proje için %8’lik gerçekleşme vardır. 2. Altı </w:t>
      </w:r>
      <w:r w:rsidR="006E1888">
        <w:rPr>
          <w:rFonts w:ascii="Times New Roman" w:hAnsi="Times New Roman"/>
          <w:color w:val="000000"/>
          <w:sz w:val="24"/>
          <w:szCs w:val="24"/>
        </w:rPr>
        <w:t>aylık dönemde %20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 w:rsidR="006E1888"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k daha gerçekleştirme hedeflenmektedir.</w:t>
      </w:r>
    </w:p>
    <w:p w:rsidR="00563132" w:rsidRDefault="00563132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6630" w:rsidRDefault="00AC6630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6630">
        <w:rPr>
          <w:rFonts w:ascii="Times New Roman" w:hAnsi="Times New Roman"/>
          <w:b/>
          <w:color w:val="000000"/>
          <w:sz w:val="24"/>
          <w:szCs w:val="24"/>
        </w:rPr>
        <w:tab/>
        <w:t xml:space="preserve">2. </w:t>
      </w:r>
      <w:r w:rsidRPr="00AC6630">
        <w:rPr>
          <w:rFonts w:ascii="Times New Roman" w:hAnsi="Times New Roman"/>
          <w:b/>
          <w:bCs/>
          <w:color w:val="000000"/>
          <w:sz w:val="24"/>
          <w:szCs w:val="24"/>
        </w:rPr>
        <w:t xml:space="preserve">2009H031350 </w:t>
      </w:r>
      <w:r w:rsidRPr="00AC6630">
        <w:rPr>
          <w:rFonts w:ascii="Times New Roman" w:hAnsi="Times New Roman"/>
          <w:b/>
          <w:color w:val="000000"/>
          <w:sz w:val="24"/>
          <w:szCs w:val="24"/>
        </w:rPr>
        <w:t>Rektörlük Binası Yapım İşi</w:t>
      </w:r>
    </w:p>
    <w:p w:rsidR="00563132" w:rsidRDefault="00563132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63132" w:rsidRPr="00563132" w:rsidRDefault="00563132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563132">
        <w:rPr>
          <w:rFonts w:ascii="Times New Roman" w:hAnsi="Times New Roman"/>
          <w:b/>
          <w:color w:val="000000"/>
          <w:sz w:val="24"/>
          <w:szCs w:val="24"/>
        </w:rPr>
        <w:t>Proje Bedeli:</w:t>
      </w:r>
      <w:r w:rsidRPr="00563132">
        <w:rPr>
          <w:rFonts w:ascii="Times New Roman" w:hAnsi="Times New Roman"/>
          <w:color w:val="000000"/>
          <w:sz w:val="24"/>
          <w:szCs w:val="24"/>
        </w:rPr>
        <w:t xml:space="preserve"> 12.456.500,00 TL</w:t>
      </w:r>
    </w:p>
    <w:p w:rsidR="00563132" w:rsidRDefault="00563132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63132" w:rsidRPr="00563132" w:rsidRDefault="00563132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563132">
        <w:rPr>
          <w:rFonts w:ascii="Times New Roman" w:hAnsi="Times New Roman"/>
          <w:color w:val="000000"/>
          <w:sz w:val="24"/>
          <w:szCs w:val="24"/>
        </w:rPr>
        <w:t xml:space="preserve">2012 yılında tamamlanması hedeflenen Rektörlük Binası şu an %53 </w:t>
      </w:r>
      <w:r>
        <w:rPr>
          <w:rFonts w:ascii="Times New Roman" w:hAnsi="Times New Roman"/>
          <w:color w:val="000000"/>
          <w:sz w:val="24"/>
          <w:szCs w:val="24"/>
        </w:rPr>
        <w:t>gerçekle</w:t>
      </w:r>
      <w:r w:rsidR="006E1888">
        <w:rPr>
          <w:rFonts w:ascii="Times New Roman" w:hAnsi="Times New Roman"/>
          <w:color w:val="000000"/>
          <w:sz w:val="24"/>
          <w:szCs w:val="24"/>
        </w:rPr>
        <w:t xml:space="preserve">şme yüzdesi vardır. Bu proje </w:t>
      </w:r>
      <w:r w:rsidR="00BA1435">
        <w:rPr>
          <w:rFonts w:ascii="Times New Roman" w:hAnsi="Times New Roman"/>
          <w:color w:val="000000"/>
          <w:sz w:val="24"/>
          <w:szCs w:val="24"/>
        </w:rPr>
        <w:t>için yılsonu kadar %100 lük gerçekleştirme hedeflenmektedir.</w:t>
      </w:r>
    </w:p>
    <w:p w:rsidR="00AC6630" w:rsidRDefault="00AC6630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1888" w:rsidRDefault="006E1888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3</w:t>
      </w:r>
      <w:r w:rsidRPr="00AC663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AC6630">
        <w:rPr>
          <w:rFonts w:ascii="Times New Roman" w:hAnsi="Times New Roman"/>
          <w:b/>
          <w:bCs/>
          <w:color w:val="000000"/>
          <w:sz w:val="24"/>
          <w:szCs w:val="24"/>
        </w:rPr>
        <w:t xml:space="preserve">2009H031350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Merkezi </w:t>
      </w:r>
      <w:r>
        <w:rPr>
          <w:rFonts w:ascii="Times New Roman" w:hAnsi="Times New Roman"/>
          <w:b/>
          <w:color w:val="000000"/>
          <w:sz w:val="24"/>
          <w:szCs w:val="24"/>
        </w:rPr>
        <w:t>Derslik ve Sosyal Tesisler</w:t>
      </w:r>
    </w:p>
    <w:p w:rsidR="006E1888" w:rsidRPr="006E1888" w:rsidRDefault="006E1888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1888" w:rsidRDefault="00885D8A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2011</w:t>
      </w:r>
      <w:r w:rsidR="006E1888" w:rsidRPr="006E1888">
        <w:rPr>
          <w:rFonts w:ascii="Times New Roman" w:hAnsi="Times New Roman"/>
          <w:color w:val="000000"/>
          <w:sz w:val="24"/>
          <w:szCs w:val="24"/>
        </w:rPr>
        <w:t xml:space="preserve"> yılında </w:t>
      </w:r>
      <w:r w:rsidR="006E1888">
        <w:rPr>
          <w:rFonts w:ascii="Times New Roman" w:hAnsi="Times New Roman"/>
          <w:color w:val="000000"/>
          <w:sz w:val="24"/>
          <w:szCs w:val="24"/>
        </w:rPr>
        <w:t xml:space="preserve">hizmete giren Merkezi Derslik ve Sosyal Tesisler için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6E1888">
        <w:rPr>
          <w:rFonts w:ascii="Times New Roman" w:hAnsi="Times New Roman"/>
          <w:color w:val="000000"/>
          <w:sz w:val="24"/>
          <w:szCs w:val="24"/>
        </w:rPr>
        <w:t xml:space="preserve">. Altı aylık dönemde %3’lik iş artışıyla birlikte %103 lük gerçekleşme </w:t>
      </w:r>
      <w:r>
        <w:rPr>
          <w:rFonts w:ascii="Times New Roman" w:hAnsi="Times New Roman"/>
          <w:color w:val="000000"/>
          <w:sz w:val="24"/>
          <w:szCs w:val="24"/>
        </w:rPr>
        <w:t>sağlanmıştır.</w:t>
      </w:r>
    </w:p>
    <w:p w:rsidR="006E1888" w:rsidRDefault="006E1888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1888" w:rsidRPr="006E1888" w:rsidRDefault="006E1888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6E1888"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 w:rsidR="000F646A" w:rsidRPr="00AC6630">
        <w:rPr>
          <w:rFonts w:ascii="Times New Roman" w:hAnsi="Times New Roman"/>
          <w:b/>
          <w:bCs/>
          <w:color w:val="000000"/>
          <w:sz w:val="24"/>
          <w:szCs w:val="24"/>
        </w:rPr>
        <w:t>2009H031350</w:t>
      </w:r>
      <w:r w:rsidR="000F646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E1888">
        <w:rPr>
          <w:rFonts w:ascii="Times New Roman" w:hAnsi="Times New Roman"/>
          <w:b/>
          <w:color w:val="000000"/>
          <w:sz w:val="24"/>
          <w:szCs w:val="24"/>
        </w:rPr>
        <w:t xml:space="preserve">Suveren Merkezi Derslik ve Birimler </w:t>
      </w:r>
    </w:p>
    <w:p w:rsidR="006E1888" w:rsidRDefault="006E1888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:rsidR="006E1888" w:rsidRPr="006E1888" w:rsidRDefault="006E1888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  <w:t>Bu projenin ihalesi tamamlanmış olup</w:t>
      </w:r>
      <w:r w:rsidR="00B46BCA">
        <w:rPr>
          <w:rFonts w:ascii="Times New Roman" w:hAnsi="Times New Roman"/>
          <w:color w:val="000000"/>
          <w:sz w:val="24"/>
          <w:szCs w:val="24"/>
        </w:rPr>
        <w:t xml:space="preserve"> yıl sonuna kadar yapımının %20’</w:t>
      </w:r>
      <w:r>
        <w:rPr>
          <w:rFonts w:ascii="Times New Roman" w:hAnsi="Times New Roman"/>
          <w:color w:val="000000"/>
          <w:sz w:val="24"/>
          <w:szCs w:val="24"/>
        </w:rPr>
        <w:t>ye ulaşması hedeflenmektedir.</w:t>
      </w:r>
    </w:p>
    <w:p w:rsidR="006E1888" w:rsidRDefault="006E1888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46BCA" w:rsidRDefault="00B46BCA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AC663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AC6630">
        <w:rPr>
          <w:rFonts w:ascii="Times New Roman" w:hAnsi="Times New Roman"/>
          <w:b/>
          <w:bCs/>
          <w:color w:val="000000"/>
          <w:sz w:val="24"/>
          <w:szCs w:val="24"/>
        </w:rPr>
        <w:t xml:space="preserve">2009H031360 </w:t>
      </w:r>
      <w:r w:rsidRPr="00AC6630">
        <w:rPr>
          <w:rFonts w:ascii="Times New Roman" w:hAnsi="Times New Roman"/>
          <w:b/>
          <w:color w:val="000000"/>
          <w:sz w:val="24"/>
          <w:szCs w:val="24"/>
        </w:rPr>
        <w:t>Lojman ve Sosyal Tesisler</w:t>
      </w:r>
    </w:p>
    <w:p w:rsidR="00B46BCA" w:rsidRDefault="00B46BCA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B46BCA" w:rsidRDefault="00B46BCA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63132">
        <w:rPr>
          <w:rFonts w:ascii="Times New Roman" w:hAnsi="Times New Roman"/>
          <w:b/>
          <w:color w:val="000000"/>
          <w:sz w:val="24"/>
          <w:szCs w:val="24"/>
        </w:rPr>
        <w:t>Proje Bedeli:</w:t>
      </w:r>
      <w:r w:rsidR="004823F6">
        <w:rPr>
          <w:rFonts w:ascii="Times New Roman" w:hAnsi="Times New Roman"/>
          <w:color w:val="000000"/>
          <w:sz w:val="24"/>
          <w:szCs w:val="24"/>
        </w:rPr>
        <w:t xml:space="preserve"> 11.288.700</w:t>
      </w:r>
      <w:r w:rsidRPr="00563132">
        <w:rPr>
          <w:rFonts w:ascii="Times New Roman" w:hAnsi="Times New Roman"/>
          <w:color w:val="000000"/>
          <w:sz w:val="24"/>
          <w:szCs w:val="24"/>
        </w:rPr>
        <w:t xml:space="preserve"> TL</w:t>
      </w:r>
    </w:p>
    <w:p w:rsidR="00B46BCA" w:rsidRDefault="00B46BCA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7C91" w:rsidRDefault="00BA1435" w:rsidP="00196B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A1435">
        <w:rPr>
          <w:rFonts w:ascii="Times New Roman" w:hAnsi="Times New Roman"/>
          <w:color w:val="000000"/>
          <w:sz w:val="24"/>
          <w:szCs w:val="24"/>
        </w:rPr>
        <w:t>Bu proje için 1. Altı aylık dönemde 688.488,70 TL harcama yapılmıştır.</w:t>
      </w:r>
      <w:r>
        <w:rPr>
          <w:rFonts w:ascii="Times New Roman" w:hAnsi="Times New Roman"/>
          <w:color w:val="000000"/>
          <w:sz w:val="24"/>
          <w:szCs w:val="24"/>
        </w:rPr>
        <w:t xml:space="preserve"> 2012 yılında %15 lik gerçekleşme yüzdesine sahip olan bu proje için yıl sonuna kadar %35 gerçekleşme hedeflenmektedir.</w:t>
      </w: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AC6630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C6630">
        <w:rPr>
          <w:rFonts w:ascii="Times New Roman" w:hAnsi="Times New Roman"/>
          <w:b/>
          <w:bCs/>
          <w:color w:val="000000"/>
          <w:sz w:val="24"/>
          <w:szCs w:val="24"/>
        </w:rPr>
        <w:t xml:space="preserve"> 2011H050060 </w:t>
      </w:r>
      <w:r w:rsidRPr="00AC6630">
        <w:rPr>
          <w:rFonts w:ascii="Times New Roman" w:hAnsi="Times New Roman"/>
          <w:b/>
          <w:color w:val="000000"/>
          <w:sz w:val="24"/>
          <w:szCs w:val="24"/>
        </w:rPr>
        <w:t>Açık ve Kapalı Spor Tesisi</w:t>
      </w: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63132">
        <w:rPr>
          <w:rFonts w:ascii="Times New Roman" w:hAnsi="Times New Roman"/>
          <w:b/>
          <w:color w:val="000000"/>
          <w:sz w:val="24"/>
          <w:szCs w:val="24"/>
        </w:rPr>
        <w:t>Proje Bedeli:</w:t>
      </w:r>
      <w:r>
        <w:rPr>
          <w:rFonts w:ascii="Times New Roman" w:hAnsi="Times New Roman"/>
          <w:color w:val="000000"/>
          <w:sz w:val="24"/>
          <w:szCs w:val="24"/>
        </w:rPr>
        <w:t xml:space="preserve"> 7.314</w:t>
      </w:r>
      <w:r w:rsidRPr="0056313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82</w:t>
      </w:r>
      <w:r w:rsidRPr="00563132">
        <w:rPr>
          <w:rFonts w:ascii="Times New Roman" w:hAnsi="Times New Roman"/>
          <w:color w:val="000000"/>
          <w:sz w:val="24"/>
          <w:szCs w:val="24"/>
        </w:rPr>
        <w:t>0,00 TL</w:t>
      </w: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823F6">
        <w:rPr>
          <w:rFonts w:ascii="Times New Roman" w:hAnsi="Times New Roman"/>
          <w:color w:val="000000"/>
          <w:sz w:val="24"/>
          <w:szCs w:val="24"/>
        </w:rPr>
        <w:t xml:space="preserve">Bu </w:t>
      </w:r>
      <w:r>
        <w:rPr>
          <w:rFonts w:ascii="Times New Roman" w:hAnsi="Times New Roman"/>
          <w:color w:val="000000"/>
          <w:sz w:val="24"/>
          <w:szCs w:val="24"/>
        </w:rPr>
        <w:t>projenin sözleşmesi yeni yapılmış olup yıl sonuna kadar %35 gerçekleşme hedeflenmektedir.</w:t>
      </w:r>
    </w:p>
    <w:p w:rsidR="00B75125" w:rsidRDefault="00B75125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Pr="00AC6630">
        <w:rPr>
          <w:rFonts w:ascii="Times New Roman" w:hAnsi="Times New Roman"/>
          <w:b/>
          <w:bCs/>
          <w:color w:val="000000"/>
          <w:sz w:val="24"/>
          <w:szCs w:val="24"/>
        </w:rPr>
        <w:t>2009H031360 Rektörlük Konutu</w:t>
      </w: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823F6" w:rsidRP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23F6">
        <w:rPr>
          <w:rFonts w:ascii="Times New Roman" w:hAnsi="Times New Roman"/>
          <w:bCs/>
          <w:color w:val="000000"/>
          <w:sz w:val="24"/>
          <w:szCs w:val="24"/>
        </w:rPr>
        <w:t>Bu yapım işi daha proje aşamasındadır. Yapımı</w:t>
      </w:r>
      <w:r w:rsidR="00E52449">
        <w:rPr>
          <w:rFonts w:ascii="Times New Roman" w:hAnsi="Times New Roman"/>
          <w:bCs/>
          <w:color w:val="000000"/>
          <w:sz w:val="24"/>
          <w:szCs w:val="24"/>
        </w:rPr>
        <w:t>na</w:t>
      </w:r>
      <w:r w:rsidRPr="004823F6">
        <w:rPr>
          <w:rFonts w:ascii="Times New Roman" w:hAnsi="Times New Roman"/>
          <w:bCs/>
          <w:color w:val="000000"/>
          <w:sz w:val="24"/>
          <w:szCs w:val="24"/>
        </w:rPr>
        <w:t xml:space="preserve"> 2013 yılında başlaması hedeflenmektedir.</w:t>
      </w:r>
    </w:p>
    <w:p w:rsidR="004823F6" w:rsidRP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0D93" w:rsidRPr="00354CAB" w:rsidRDefault="003C0D93" w:rsidP="000F646A">
      <w:pPr>
        <w:pStyle w:val="ListeParagra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6630" w:rsidRDefault="00AC6630" w:rsidP="001E4DC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6630">
        <w:rPr>
          <w:rFonts w:ascii="Times New Roman" w:hAnsi="Times New Roman"/>
          <w:b/>
          <w:bCs/>
          <w:color w:val="000000"/>
          <w:sz w:val="24"/>
          <w:szCs w:val="24"/>
        </w:rPr>
        <w:t xml:space="preserve">2009H031340 </w:t>
      </w:r>
      <w:r w:rsidRPr="00AC6630">
        <w:rPr>
          <w:rFonts w:ascii="Times New Roman" w:hAnsi="Times New Roman"/>
          <w:b/>
          <w:color w:val="000000"/>
          <w:sz w:val="24"/>
          <w:szCs w:val="24"/>
        </w:rPr>
        <w:t>Kampus Alt Yapısı</w:t>
      </w:r>
    </w:p>
    <w:p w:rsidR="001E4DCA" w:rsidRDefault="001E4DCA" w:rsidP="001E4DCA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E4DCA" w:rsidRDefault="001E4DCA" w:rsidP="001E4DCA">
      <w:pPr>
        <w:pStyle w:val="Liste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E7E10">
        <w:rPr>
          <w:rFonts w:ascii="Times New Roman" w:hAnsi="Times New Roman"/>
          <w:color w:val="000000"/>
          <w:sz w:val="24"/>
          <w:szCs w:val="24"/>
        </w:rPr>
        <w:t xml:space="preserve">Üniversitemizin </w:t>
      </w:r>
      <w:r w:rsidR="004306E4">
        <w:rPr>
          <w:rFonts w:ascii="Times New Roman" w:hAnsi="Times New Roman"/>
          <w:color w:val="000000"/>
          <w:sz w:val="24"/>
          <w:szCs w:val="24"/>
        </w:rPr>
        <w:t>06.5</w:t>
      </w:r>
      <w:r>
        <w:rPr>
          <w:rFonts w:ascii="Times New Roman" w:hAnsi="Times New Roman"/>
          <w:color w:val="000000"/>
          <w:sz w:val="24"/>
          <w:szCs w:val="24"/>
        </w:rPr>
        <w:t xml:space="preserve"> kalemin</w:t>
      </w:r>
      <w:r w:rsidR="00B1510B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2CA0">
        <w:rPr>
          <w:rFonts w:ascii="Times New Roman" w:hAnsi="Times New Roman"/>
          <w:color w:val="000000"/>
          <w:sz w:val="24"/>
          <w:szCs w:val="24"/>
        </w:rPr>
        <w:t>3.000</w:t>
      </w:r>
      <w:r>
        <w:rPr>
          <w:rFonts w:ascii="Times New Roman" w:hAnsi="Times New Roman"/>
          <w:color w:val="000000"/>
          <w:sz w:val="24"/>
          <w:szCs w:val="24"/>
        </w:rPr>
        <w:t xml:space="preserve">.000 TL ödenek ayrılmış olup Ocak-Haziran döneminde </w:t>
      </w:r>
      <w:r w:rsidR="00132CA0" w:rsidRPr="00132CA0">
        <w:rPr>
          <w:rFonts w:ascii="Times New Roman" w:hAnsi="Times New Roman"/>
          <w:color w:val="000000"/>
          <w:sz w:val="24"/>
          <w:szCs w:val="24"/>
        </w:rPr>
        <w:t>1.449.099,00</w:t>
      </w:r>
      <w:r>
        <w:rPr>
          <w:rFonts w:ascii="Times New Roman" w:hAnsi="Times New Roman"/>
          <w:color w:val="000000"/>
          <w:sz w:val="24"/>
          <w:szCs w:val="24"/>
        </w:rPr>
        <w:t xml:space="preserve"> TL lik harcama gerçekleşmiştir. Bu kalemde tek proje mevcuttur.</w:t>
      </w:r>
    </w:p>
    <w:p w:rsidR="00766E12" w:rsidRDefault="00766E12" w:rsidP="00766E12">
      <w:pPr>
        <w:pStyle w:val="ListeParagra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3BEE" w:rsidRDefault="00766E12" w:rsidP="001E4DCA">
      <w:pPr>
        <w:pStyle w:val="Liste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Altyapı birinci kademesi aşamasında devam eden bu projede kampus alanının yol ve su tesisat işlemleri tamamlanmıştır.</w:t>
      </w:r>
    </w:p>
    <w:p w:rsidR="00766E12" w:rsidRDefault="00766E12" w:rsidP="00766E12">
      <w:pPr>
        <w:pStyle w:val="ListeParagra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3BEE" w:rsidRDefault="00AD3BEE" w:rsidP="00AD3BE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54CAB">
        <w:rPr>
          <w:rFonts w:ascii="Times New Roman" w:hAnsi="Times New Roman"/>
          <w:color w:val="000000"/>
          <w:sz w:val="24"/>
          <w:szCs w:val="24"/>
        </w:rPr>
        <w:t>2012 yılı için</w:t>
      </w:r>
      <w:r>
        <w:rPr>
          <w:rFonts w:ascii="Times New Roman" w:hAnsi="Times New Roman"/>
          <w:color w:val="000000"/>
          <w:sz w:val="24"/>
          <w:szCs w:val="24"/>
        </w:rPr>
        <w:t xml:space="preserve"> 06.5.7.07 Yol Yapım Giderleri için 3.000.000 TL ödenek ayrılmış olup ilk altı aylık dönemde 1.449.099 TL tutarında harcama gerçekleşmiştir. Bu kalemde 3 adet proje vardır.</w:t>
      </w: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AC6630">
        <w:rPr>
          <w:rFonts w:ascii="Times New Roman" w:hAnsi="Times New Roman"/>
          <w:b/>
          <w:bCs/>
          <w:color w:val="000000"/>
          <w:sz w:val="24"/>
          <w:szCs w:val="24"/>
        </w:rPr>
        <w:t xml:space="preserve">2009H031340 </w:t>
      </w:r>
      <w:r w:rsidRPr="00AC6630">
        <w:rPr>
          <w:rFonts w:ascii="Times New Roman" w:hAnsi="Times New Roman"/>
          <w:b/>
          <w:bCs/>
          <w:sz w:val="24"/>
          <w:szCs w:val="24"/>
        </w:rPr>
        <w:t>Çevre Duvarı</w:t>
      </w: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23F6" w:rsidRP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23F6">
        <w:rPr>
          <w:rFonts w:ascii="Times New Roman" w:hAnsi="Times New Roman"/>
          <w:bCs/>
          <w:sz w:val="24"/>
          <w:szCs w:val="24"/>
        </w:rPr>
        <w:t>Proje aşamasındadır.</w:t>
      </w: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Pr="00AC6630">
        <w:rPr>
          <w:rFonts w:ascii="Times New Roman" w:hAnsi="Times New Roman"/>
          <w:b/>
          <w:bCs/>
          <w:color w:val="000000"/>
          <w:sz w:val="24"/>
          <w:szCs w:val="24"/>
        </w:rPr>
        <w:t>2009H031340 Giriş Takı</w:t>
      </w:r>
    </w:p>
    <w:p w:rsidR="004823F6" w:rsidRP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4823F6" w:rsidRPr="004823F6" w:rsidRDefault="004823F6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23F6">
        <w:rPr>
          <w:rFonts w:ascii="Times New Roman" w:hAnsi="Times New Roman"/>
          <w:bCs/>
          <w:sz w:val="24"/>
          <w:szCs w:val="24"/>
        </w:rPr>
        <w:t>Proje aşamasındadır.</w:t>
      </w:r>
    </w:p>
    <w:p w:rsidR="00AC6630" w:rsidRPr="00AC6630" w:rsidRDefault="00AC6630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6630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C6630" w:rsidRDefault="00BE7E10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1.</w:t>
      </w:r>
      <w:r w:rsidR="00AC6630" w:rsidRPr="00AC66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C6630" w:rsidRPr="00AC6630">
        <w:rPr>
          <w:rFonts w:ascii="Times New Roman" w:hAnsi="Times New Roman"/>
          <w:b/>
          <w:bCs/>
          <w:color w:val="000000"/>
          <w:sz w:val="24"/>
          <w:szCs w:val="24"/>
        </w:rPr>
        <w:t xml:space="preserve">2010K121000 </w:t>
      </w:r>
      <w:r w:rsidR="00AC6630" w:rsidRPr="00AC6630">
        <w:rPr>
          <w:rFonts w:ascii="Times New Roman" w:hAnsi="Times New Roman"/>
          <w:b/>
          <w:color w:val="000000"/>
          <w:sz w:val="24"/>
          <w:szCs w:val="24"/>
        </w:rPr>
        <w:t>Merkezi Araştırma Laboratuarı</w:t>
      </w:r>
    </w:p>
    <w:p w:rsidR="00BE7E10" w:rsidRDefault="00BE7E10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C6630" w:rsidRDefault="00016FE5" w:rsidP="001D1C9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Uygulama </w:t>
      </w:r>
      <w:r w:rsidR="00BE7E10" w:rsidRPr="00BE7E10">
        <w:rPr>
          <w:rFonts w:ascii="Times New Roman" w:hAnsi="Times New Roman"/>
          <w:color w:val="000000"/>
          <w:sz w:val="24"/>
          <w:szCs w:val="24"/>
        </w:rPr>
        <w:t xml:space="preserve">Projesi </w:t>
      </w:r>
      <w:r>
        <w:rPr>
          <w:rFonts w:ascii="Times New Roman" w:hAnsi="Times New Roman"/>
          <w:color w:val="000000"/>
          <w:sz w:val="24"/>
          <w:szCs w:val="24"/>
        </w:rPr>
        <w:t xml:space="preserve">2011 yılında tamamlanarak 2011 yılı içerisinde İhaleye çıkılmış olup,Eylül 2011 ‘de sözleşme imzalanarak işe başlanmıştır.Temmuz 2012 tarihi </w:t>
      </w:r>
      <w:r w:rsidR="00BE7E1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itibariyle işin gerçekleşme oranı % 31,80 ‘dir.Projenin 2013 yılında bitirilmesi</w:t>
      </w:r>
      <w:r w:rsidR="00BE7E10">
        <w:rPr>
          <w:rFonts w:ascii="Times New Roman" w:hAnsi="Times New Roman"/>
          <w:color w:val="000000"/>
          <w:sz w:val="24"/>
          <w:szCs w:val="24"/>
        </w:rPr>
        <w:t xml:space="preserve"> hedeflenmektedir.</w:t>
      </w:r>
    </w:p>
    <w:p w:rsidR="006728F4" w:rsidRPr="006728F4" w:rsidRDefault="006728F4" w:rsidP="000F646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6630" w:rsidRDefault="00AC6630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2011H032470 Muhtelif İşler</w:t>
      </w:r>
    </w:p>
    <w:p w:rsidR="006728F4" w:rsidRPr="006728F4" w:rsidRDefault="006728F4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75125" w:rsidRDefault="006728F4" w:rsidP="000F7E79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728F4">
        <w:rPr>
          <w:rFonts w:ascii="Times New Roman" w:hAnsi="Times New Roman"/>
          <w:bCs/>
          <w:color w:val="000000"/>
          <w:sz w:val="24"/>
          <w:szCs w:val="24"/>
        </w:rPr>
        <w:t xml:space="preserve">2012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yılında bu proje kapsamında </w:t>
      </w:r>
      <w:r w:rsidR="00A91AE3">
        <w:rPr>
          <w:rFonts w:ascii="Times New Roman" w:hAnsi="Times New Roman"/>
          <w:bCs/>
          <w:color w:val="000000"/>
          <w:sz w:val="24"/>
          <w:szCs w:val="24"/>
        </w:rPr>
        <w:t xml:space="preserve">49 Kalem Laboratuar Malzemesi, Büro Mefruşat , Büro Makine </w:t>
      </w:r>
      <w:r>
        <w:rPr>
          <w:rFonts w:ascii="Times New Roman" w:hAnsi="Times New Roman"/>
          <w:bCs/>
          <w:color w:val="000000"/>
          <w:sz w:val="24"/>
          <w:szCs w:val="24"/>
        </w:rPr>
        <w:t>ve taşıt alımlarının yıl sonuna kadar yapılması planlanmaktadır.</w:t>
      </w:r>
      <w:r w:rsidR="00A072F9" w:rsidRPr="00F25F4B">
        <w:rPr>
          <w:color w:val="000000"/>
        </w:rPr>
        <w:t xml:space="preserve"> </w:t>
      </w:r>
    </w:p>
    <w:p w:rsidR="000F7E79" w:rsidRDefault="00CB0212" w:rsidP="00596808">
      <w:pPr>
        <w:pStyle w:val="Balk1"/>
        <w:jc w:val="both"/>
      </w:pPr>
      <w:r w:rsidRPr="00F25F4B">
        <w:lastRenderedPageBreak/>
        <w:t>2012</w:t>
      </w:r>
      <w:r w:rsidR="001E69C5" w:rsidRPr="00F25F4B">
        <w:t xml:space="preserve"> DÖNEMİNE İLİŞKİN BEKLENTİLER VE HEDEFLER</w:t>
      </w:r>
    </w:p>
    <w:p w:rsidR="00382E97" w:rsidRPr="00382E97" w:rsidRDefault="00382E97" w:rsidP="00382E97"/>
    <w:p w:rsidR="001E69C5" w:rsidRPr="00F25F4B" w:rsidRDefault="001E69C5" w:rsidP="000F646A">
      <w:pPr>
        <w:pStyle w:val="Balk2"/>
        <w:jc w:val="both"/>
      </w:pPr>
      <w:r w:rsidRPr="00F25F4B">
        <w:t>A. Bütçe Giderleri</w:t>
      </w:r>
    </w:p>
    <w:p w:rsidR="00D31747" w:rsidRPr="00F25F4B" w:rsidRDefault="00D31747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E69C5" w:rsidRPr="00F25F4B" w:rsidRDefault="00CB0212" w:rsidP="000B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Mali Yılı Merkezi Yönetim Bütçe Kanunu ile Ü</w:t>
      </w:r>
      <w:r w:rsidR="00ED4495" w:rsidRPr="00F25F4B">
        <w:rPr>
          <w:rFonts w:ascii="Times New Roman" w:hAnsi="Times New Roman"/>
          <w:color w:val="000000"/>
          <w:sz w:val="24"/>
          <w:szCs w:val="24"/>
        </w:rPr>
        <w:t xml:space="preserve">niversitemize verilen </w:t>
      </w:r>
      <w:r w:rsidR="000B5C29">
        <w:rPr>
          <w:rFonts w:ascii="Times New Roman" w:hAnsi="Times New Roman"/>
          <w:color w:val="000000"/>
          <w:sz w:val="24"/>
          <w:szCs w:val="24"/>
        </w:rPr>
        <w:t>37.124.000,00</w:t>
      </w:r>
      <w:r w:rsidR="00D31747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>TL ödeneğin tamamının harcanacağı tahmin edilmektedir. Üniversitemizin</w:t>
      </w:r>
      <w:r w:rsidR="000B5C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B5C29">
        <w:rPr>
          <w:rFonts w:ascii="Times New Roman" w:hAnsi="Times New Roman"/>
          <w:color w:val="000000"/>
          <w:sz w:val="24"/>
          <w:szCs w:val="24"/>
        </w:rPr>
        <w:t>Suveren k</w:t>
      </w:r>
      <w:r w:rsidR="007004B6">
        <w:rPr>
          <w:rFonts w:ascii="Times New Roman" w:hAnsi="Times New Roman"/>
          <w:color w:val="000000"/>
          <w:sz w:val="24"/>
          <w:szCs w:val="24"/>
        </w:rPr>
        <w:t xml:space="preserve">ampüs alanında Rektörlük Binası, Ziraat Fakültesi hizmet binası, Altyapı </w:t>
      </w:r>
      <w:r w:rsidR="00F46025">
        <w:rPr>
          <w:rFonts w:ascii="Times New Roman" w:hAnsi="Times New Roman"/>
          <w:color w:val="000000"/>
          <w:sz w:val="24"/>
          <w:szCs w:val="24"/>
        </w:rPr>
        <w:t>Merkezi Araştırma Labaratuvarı inşaatı ve Lojmanların yapım işlerine devam etmektedir</w:t>
      </w:r>
      <w:r w:rsidR="000B5C29">
        <w:rPr>
          <w:rFonts w:ascii="Times New Roman" w:hAnsi="Times New Roman"/>
          <w:color w:val="000000"/>
          <w:sz w:val="24"/>
          <w:szCs w:val="24"/>
        </w:rPr>
        <w:t>.Kampüs Altyapı çalışmalarında su tesisat çalışmaları 2. Aylık dönemde tamamlanması hedeflenmektedir.</w:t>
      </w:r>
    </w:p>
    <w:p w:rsidR="00D31747" w:rsidRDefault="00D31747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69C5" w:rsidRPr="00F25F4B" w:rsidRDefault="001E69C5" w:rsidP="000F646A">
      <w:pPr>
        <w:pStyle w:val="Balk3"/>
        <w:jc w:val="both"/>
      </w:pPr>
      <w:r w:rsidRPr="00F25F4B">
        <w:t>01- Personel Giderleri:</w:t>
      </w:r>
    </w:p>
    <w:p w:rsidR="00D31747" w:rsidRPr="00F25F4B" w:rsidRDefault="00D31747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69C5" w:rsidRPr="00F25F4B" w:rsidRDefault="001E69C5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Üniversitemize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yılında yapılacak atamalarla personel sayımızın artacağı ve buna</w:t>
      </w:r>
      <w:r w:rsidR="0023454C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bağlı olarak da personel giderlerinde ikinci altı aylık dönemde artış olacağı tahmin edilmektedir.</w:t>
      </w:r>
    </w:p>
    <w:p w:rsidR="00966756" w:rsidRPr="00F25F4B" w:rsidRDefault="00966756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69C5" w:rsidRPr="00F25F4B" w:rsidRDefault="001E69C5" w:rsidP="000F646A">
      <w:pPr>
        <w:pStyle w:val="Balk3"/>
        <w:jc w:val="both"/>
      </w:pPr>
      <w:r w:rsidRPr="00F25F4B">
        <w:t>02- Sosyal Güvenlik Kurumlarına Devlet Primi Giderleri:</w:t>
      </w:r>
    </w:p>
    <w:p w:rsidR="0023454C" w:rsidRPr="00F25F4B" w:rsidRDefault="0023454C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34B5" w:rsidRPr="00F25F4B" w:rsidRDefault="00CB0212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 xml:space="preserve"> yılı ikinci altı aylık dönemde yeni alınacak personel sayısına bağlı olarak Sosyal</w:t>
      </w:r>
      <w:r w:rsidR="0023454C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9C5" w:rsidRPr="00F25F4B">
        <w:rPr>
          <w:rFonts w:ascii="Times New Roman" w:hAnsi="Times New Roman"/>
          <w:color w:val="000000"/>
          <w:sz w:val="24"/>
          <w:szCs w:val="24"/>
        </w:rPr>
        <w:t>Güvenlik Kurumuna Devlet Pirimi giderinde artış olacağı tahmin edilmektedir.</w:t>
      </w:r>
    </w:p>
    <w:p w:rsidR="005834B5" w:rsidRDefault="005834B5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69C5" w:rsidRPr="00F25F4B" w:rsidRDefault="001E69C5" w:rsidP="000F646A">
      <w:pPr>
        <w:pStyle w:val="Balk3"/>
        <w:jc w:val="both"/>
      </w:pPr>
      <w:r w:rsidRPr="00F25F4B">
        <w:t>03- Mal ve Hizmet Alım Giderler:</w:t>
      </w:r>
    </w:p>
    <w:p w:rsidR="00256D63" w:rsidRPr="00F25F4B" w:rsidRDefault="00256D63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1E69C5" w:rsidP="000F6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Maliye Bakanlığı Bütçe ve Mali Kontrol Genel Müdürlüğünün serbest bırakma oranlarına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göre ödeneklerimizin harcaması yapılmakta olup, ikinci altı aylık dönemde bu harcamada artış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olacağı tahmin edilmektedir.</w:t>
      </w:r>
    </w:p>
    <w:p w:rsidR="004C204A" w:rsidRPr="00F25F4B" w:rsidRDefault="004C204A" w:rsidP="000F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56D63" w:rsidRPr="00F25F4B" w:rsidRDefault="001E69C5" w:rsidP="002A1D9E">
      <w:pPr>
        <w:pStyle w:val="Balk3"/>
      </w:pPr>
      <w:r w:rsidRPr="00F25F4B">
        <w:t>05- Cari Transferler:</w:t>
      </w:r>
    </w:p>
    <w:p w:rsidR="001E69C5" w:rsidRPr="00F25F4B" w:rsidRDefault="001E69C5" w:rsidP="00D0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Personel yemek gideri, Emekli ikramiyesi karşılığı, makam tazminatları, %20 SGP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karşılıkları ve mevcut bütçe tertibinde ödeneği bulunmayan birimlere ödenek aktarımlarında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kullanılacağı için ikinci altı aylık dönemde mevcut ödeneğin tamamının harcanacağı tahmin</w:t>
      </w:r>
      <w:r w:rsidR="0029068D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edilmektedir.</w:t>
      </w:r>
    </w:p>
    <w:p w:rsidR="004C204A" w:rsidRPr="00F25F4B" w:rsidRDefault="004C204A" w:rsidP="00D07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69C5" w:rsidRPr="00F25F4B" w:rsidRDefault="001E69C5" w:rsidP="002A1D9E">
      <w:pPr>
        <w:pStyle w:val="Balk3"/>
      </w:pPr>
      <w:r w:rsidRPr="00F25F4B">
        <w:t>06- Sermaye Giderleri:</w:t>
      </w:r>
    </w:p>
    <w:p w:rsidR="00256D63" w:rsidRPr="00F25F4B" w:rsidRDefault="00256D63" w:rsidP="00D07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1E69C5" w:rsidP="00D0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Üniversitemizin, yapımına başlanmış olan derslik ve merkezi birimler projesi ile bitmek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üzere olan lojman yapımı ve ihale sürecinde olan kapalı spor salonu yapımı ile ihata duvarı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yapım işi nedeniyle ikinci altı aylık dönemde sermaye gideri bütçemizin tamamının harcanacağı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tahmin edilmektedir.</w:t>
      </w:r>
    </w:p>
    <w:p w:rsidR="001E69C5" w:rsidRPr="003C0D93" w:rsidRDefault="001E69C5" w:rsidP="003C0D93">
      <w:pPr>
        <w:pStyle w:val="Balk2"/>
        <w:rPr>
          <w:szCs w:val="24"/>
        </w:rPr>
      </w:pPr>
      <w:r w:rsidRPr="003C0D93">
        <w:rPr>
          <w:rFonts w:eastAsia="Calibri"/>
        </w:rPr>
        <w:t>B. Bütçe Gelirleri</w:t>
      </w:r>
      <w:r w:rsidRPr="003C0D93">
        <w:rPr>
          <w:szCs w:val="24"/>
        </w:rPr>
        <w:t>:</w:t>
      </w:r>
    </w:p>
    <w:p w:rsidR="00256D63" w:rsidRPr="00F25F4B" w:rsidRDefault="00256D63" w:rsidP="00D07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808" w:rsidRPr="00DB6E82" w:rsidRDefault="001E69C5" w:rsidP="00DB6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Üniversi</w:t>
      </w:r>
      <w:r w:rsidR="00D7445B" w:rsidRPr="00F25F4B">
        <w:rPr>
          <w:rFonts w:ascii="Times New Roman" w:hAnsi="Times New Roman"/>
          <w:color w:val="000000"/>
          <w:sz w:val="24"/>
          <w:szCs w:val="24"/>
        </w:rPr>
        <w:t>temiz gelir kaynaklarının % 5,93</w:t>
      </w:r>
      <w:r w:rsidRPr="00F25F4B">
        <w:rPr>
          <w:rFonts w:ascii="Times New Roman" w:hAnsi="Times New Roman"/>
          <w:color w:val="000000"/>
          <w:sz w:val="24"/>
          <w:szCs w:val="24"/>
        </w:rPr>
        <w:t>’lik dilimi Teşebbüs ve Mülkiyet Gel</w:t>
      </w:r>
      <w:r w:rsidR="00D7445B" w:rsidRPr="00F25F4B">
        <w:rPr>
          <w:rFonts w:ascii="Times New Roman" w:hAnsi="Times New Roman"/>
          <w:color w:val="000000"/>
          <w:sz w:val="24"/>
          <w:szCs w:val="24"/>
        </w:rPr>
        <w:t>irlerinden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445B" w:rsidRPr="00F25F4B">
        <w:rPr>
          <w:rFonts w:ascii="Times New Roman" w:hAnsi="Times New Roman"/>
          <w:color w:val="000000"/>
          <w:sz w:val="24"/>
          <w:szCs w:val="24"/>
        </w:rPr>
        <w:t>ve %94,07</w:t>
      </w:r>
      <w:r w:rsidRPr="00F25F4B">
        <w:rPr>
          <w:rFonts w:ascii="Times New Roman" w:hAnsi="Times New Roman"/>
          <w:color w:val="000000"/>
          <w:sz w:val="24"/>
          <w:szCs w:val="24"/>
        </w:rPr>
        <w:t>’i alınan bağış ve yardımlar (Hazineden gelen) ile özel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gelirlerden elde edilmektedir. Birimlerimizde güz dönemi kayıtları ile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öğrenci sayısında artış yaşanacağından ikinci altı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aylık gelirlerimizin artacağı tahmin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edilmektedir.</w:t>
      </w:r>
    </w:p>
    <w:p w:rsidR="001E69C5" w:rsidRPr="00F25F4B" w:rsidRDefault="001E69C5" w:rsidP="000B5C29">
      <w:pPr>
        <w:pStyle w:val="Balk1"/>
      </w:pPr>
      <w:r w:rsidRPr="00F25F4B">
        <w:lastRenderedPageBreak/>
        <w:t xml:space="preserve">IV. TEMMUZ-ARALIK </w:t>
      </w:r>
      <w:r w:rsidR="00CB0212" w:rsidRPr="00F25F4B">
        <w:t>2012</w:t>
      </w:r>
      <w:r w:rsidRPr="00F25F4B">
        <w:t xml:space="preserve"> DÖNEMİNDE YÜRÜTÜLECEK FAALİYETLER</w:t>
      </w:r>
    </w:p>
    <w:p w:rsidR="00256D63" w:rsidRPr="00F25F4B" w:rsidRDefault="00256D63" w:rsidP="00256D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6D63" w:rsidRPr="00F25F4B" w:rsidRDefault="001E69C5" w:rsidP="00256D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Cari ve sermaye ödeneklerinin bütçe imkanları dahilinde öncelikli ihtiyaçlar göz önüne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alınarak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Yılı Bütçe Uygulama Tebliğlerinde yer alan esas ve usullere ve Başbakanlıkça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yayınlanan tasarruf genelgelerine uygun olarak kullanılmasına özen gösterilmektedir.</w:t>
      </w:r>
    </w:p>
    <w:p w:rsidR="00256D63" w:rsidRPr="00F25F4B" w:rsidRDefault="00256D63" w:rsidP="00DB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E69C5" w:rsidRPr="00F25F4B" w:rsidRDefault="001E69C5" w:rsidP="00256D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Üniversitemizin yatırım programında yer alan kampus alanı ve lojman inşaatı ile Devlet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Planlama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Teşkilatına sunulan yatırım projelerinde belirtilen işlerin sürelerinde bitirilerek hizmete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sunulması hedeflerimizden biri olup, bu yöndeki çalışmalarımız yıl sonuna kadar hızlı bir şekilde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devam edecektir.</w:t>
      </w:r>
    </w:p>
    <w:p w:rsidR="00256D63" w:rsidRPr="00F25F4B" w:rsidRDefault="00256D63" w:rsidP="00256D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1E69C5" w:rsidP="00256D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Ocak-Haziran </w:t>
      </w:r>
      <w:r w:rsidR="00CB0212" w:rsidRPr="00F25F4B">
        <w:rPr>
          <w:rFonts w:ascii="Times New Roman" w:hAnsi="Times New Roman"/>
          <w:color w:val="000000"/>
          <w:sz w:val="24"/>
          <w:szCs w:val="24"/>
        </w:rPr>
        <w:t>2012</w:t>
      </w:r>
      <w:r w:rsidRPr="00F25F4B">
        <w:rPr>
          <w:rFonts w:ascii="Times New Roman" w:hAnsi="Times New Roman"/>
          <w:color w:val="000000"/>
          <w:sz w:val="24"/>
          <w:szCs w:val="24"/>
        </w:rPr>
        <w:t xml:space="preserve"> döneminde beklentilerimiz çerçevesinde gerçekleşen bütçe uygulama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sonuçlarına rağmen, temel öncelik yılsonu hedeflerine ulaşılmasıdır. Bu çerçevede, bütçe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uygulamaları şimdiye kadar olduğu gibi bundan sonraki dönemde de kamu harcamalarında mali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disiplin ilkeleri ve belirlenen bütçe hedefleri esas alınarak, üniversitemizin bütçe ödeneklerinin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ayrıntılı harcama programı çerçevesinde azami tasarruf anlayışı ile kullanımına özen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gösterilmeye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devam edilecektir.</w:t>
      </w:r>
    </w:p>
    <w:p w:rsidR="00256D63" w:rsidRPr="00F25F4B" w:rsidRDefault="00256D63" w:rsidP="00256D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9C5" w:rsidRPr="00F25F4B" w:rsidRDefault="001E69C5" w:rsidP="00256D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Yeni kurulan Akademik ve İdari birimlerimizin makine teçhizat ve büro mefruşatı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ihtiyaçlarını karşılamak, başarılı öğre</w:t>
      </w:r>
      <w:r w:rsidR="00342647" w:rsidRPr="00F25F4B">
        <w:rPr>
          <w:rFonts w:ascii="Times New Roman" w:hAnsi="Times New Roman"/>
          <w:color w:val="000000"/>
          <w:sz w:val="24"/>
          <w:szCs w:val="24"/>
        </w:rPr>
        <w:t>ncilerimize burs vermek, lisans</w:t>
      </w:r>
      <w:r w:rsidRPr="00F25F4B">
        <w:rPr>
          <w:rFonts w:ascii="Times New Roman" w:hAnsi="Times New Roman"/>
          <w:color w:val="000000"/>
          <w:sz w:val="24"/>
          <w:szCs w:val="24"/>
        </w:rPr>
        <w:t>üstü programlar için altyapı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hazırlamak, Öğretim Elemanlarımızın kongre ve seminerlere katılımını sağlamak, eğitim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öğretimin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kalitesini arttırmak, Üniversite bünyesinde araştırma çalışmalarına maddi destek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sağlamak için çalışmalara devam edilecektir.</w:t>
      </w:r>
    </w:p>
    <w:p w:rsidR="00256D63" w:rsidRPr="00F25F4B" w:rsidRDefault="00256D63" w:rsidP="00256D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6D63" w:rsidRPr="00F25F4B" w:rsidRDefault="001E69C5" w:rsidP="00655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>5018 Sayılı Kamu Mali Yönetimi ve Kontrol Kanunun 30. Maddesi gereği kamuoyuna</w:t>
      </w:r>
      <w:r w:rsidR="00256D63" w:rsidRPr="00F25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F4B">
        <w:rPr>
          <w:rFonts w:ascii="Times New Roman" w:hAnsi="Times New Roman"/>
          <w:color w:val="000000"/>
          <w:sz w:val="24"/>
          <w:szCs w:val="24"/>
        </w:rPr>
        <w:t>saygıyla duyurulur.</w:t>
      </w:r>
    </w:p>
    <w:p w:rsidR="00655AC7" w:rsidRPr="00F25F4B" w:rsidRDefault="00256D63" w:rsidP="0025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  <w:r w:rsidRPr="00F25F4B">
        <w:rPr>
          <w:rFonts w:ascii="Times New Roman" w:hAnsi="Times New Roman"/>
          <w:color w:val="000000"/>
          <w:sz w:val="24"/>
          <w:szCs w:val="24"/>
        </w:rPr>
        <w:tab/>
      </w:r>
    </w:p>
    <w:p w:rsidR="00655AC7" w:rsidRPr="00F25F4B" w:rsidRDefault="00655AC7" w:rsidP="0025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56D63" w:rsidRPr="00F25F4B" w:rsidRDefault="00256D63" w:rsidP="0025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ab/>
      </w:r>
    </w:p>
    <w:p w:rsidR="00256D63" w:rsidRPr="000B5C29" w:rsidRDefault="00256D63" w:rsidP="0025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5F4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655AC7" w:rsidRPr="00F25F4B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="000B5C29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6559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5958" w:rsidRPr="000B5C29">
        <w:rPr>
          <w:rFonts w:ascii="Times New Roman" w:hAnsi="Times New Roman"/>
          <w:b/>
          <w:color w:val="000000"/>
          <w:sz w:val="24"/>
          <w:szCs w:val="24"/>
        </w:rPr>
        <w:t>…</w:t>
      </w:r>
      <w:r w:rsidRPr="000B5C29">
        <w:rPr>
          <w:rFonts w:ascii="Times New Roman" w:hAnsi="Times New Roman"/>
          <w:b/>
          <w:color w:val="000000"/>
          <w:sz w:val="24"/>
          <w:szCs w:val="24"/>
        </w:rPr>
        <w:t>/07/</w:t>
      </w:r>
      <w:r w:rsidR="00CB0212" w:rsidRPr="000B5C29">
        <w:rPr>
          <w:rFonts w:ascii="Times New Roman" w:hAnsi="Times New Roman"/>
          <w:b/>
          <w:color w:val="000000"/>
          <w:sz w:val="24"/>
          <w:szCs w:val="24"/>
        </w:rPr>
        <w:t>2012</w:t>
      </w:r>
    </w:p>
    <w:p w:rsidR="00256D63" w:rsidRPr="000B5C29" w:rsidRDefault="00256D63" w:rsidP="0025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56D63" w:rsidRPr="000B5C29" w:rsidRDefault="00256D63" w:rsidP="0025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5C2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</w:t>
      </w:r>
      <w:r w:rsidR="000B5C29" w:rsidRPr="000B5C29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Pr="000B5C29">
        <w:rPr>
          <w:rFonts w:ascii="Times New Roman" w:hAnsi="Times New Roman"/>
          <w:b/>
          <w:color w:val="000000"/>
          <w:sz w:val="24"/>
          <w:szCs w:val="24"/>
        </w:rPr>
        <w:t xml:space="preserve"> Prof.Dr. </w:t>
      </w:r>
      <w:r w:rsidR="00180DEE" w:rsidRPr="000B5C29">
        <w:rPr>
          <w:rFonts w:ascii="Times New Roman" w:hAnsi="Times New Roman"/>
          <w:b/>
          <w:color w:val="000000"/>
          <w:sz w:val="24"/>
          <w:szCs w:val="24"/>
        </w:rPr>
        <w:t xml:space="preserve">İbrahim Hakkı YILMAZ </w:t>
      </w:r>
    </w:p>
    <w:p w:rsidR="002268D7" w:rsidRDefault="00256D63" w:rsidP="004E7C9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0B5C2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</w:t>
      </w:r>
      <w:r w:rsidR="000B5C29" w:rsidRPr="000B5C29"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  <w:r w:rsidRPr="000B5C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43E4" w:rsidRPr="000B5C29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0B5C29">
        <w:rPr>
          <w:rFonts w:ascii="Times New Roman" w:hAnsi="Times New Roman"/>
          <w:b/>
          <w:color w:val="000000"/>
          <w:sz w:val="24"/>
          <w:szCs w:val="24"/>
        </w:rPr>
        <w:t>Rektör</w:t>
      </w:r>
    </w:p>
    <w:p w:rsidR="00BA72B6" w:rsidRPr="00BA72B6" w:rsidRDefault="00BA72B6" w:rsidP="00BA72B6">
      <w:pPr>
        <w:rPr>
          <w:rFonts w:ascii="Times New Roman" w:hAnsi="Times New Roman"/>
          <w:sz w:val="24"/>
          <w:szCs w:val="24"/>
        </w:rPr>
      </w:pPr>
    </w:p>
    <w:p w:rsidR="00BA72B6" w:rsidRPr="00BA72B6" w:rsidRDefault="00BA72B6" w:rsidP="00BA72B6">
      <w:pPr>
        <w:rPr>
          <w:rFonts w:ascii="Times New Roman" w:hAnsi="Times New Roman"/>
          <w:sz w:val="24"/>
          <w:szCs w:val="24"/>
        </w:rPr>
      </w:pPr>
    </w:p>
    <w:p w:rsidR="00BA72B6" w:rsidRDefault="00BA72B6" w:rsidP="00BA72B6">
      <w:pPr>
        <w:rPr>
          <w:rFonts w:ascii="Times New Roman" w:hAnsi="Times New Roman"/>
          <w:sz w:val="24"/>
          <w:szCs w:val="24"/>
        </w:rPr>
      </w:pPr>
    </w:p>
    <w:p w:rsidR="00545996" w:rsidRDefault="00545996" w:rsidP="00BA72B6">
      <w:pPr>
        <w:rPr>
          <w:rFonts w:ascii="Times New Roman" w:hAnsi="Times New Roman"/>
          <w:sz w:val="24"/>
          <w:szCs w:val="24"/>
        </w:rPr>
      </w:pPr>
    </w:p>
    <w:p w:rsidR="0042413D" w:rsidRDefault="0042413D" w:rsidP="00BA72B6">
      <w:pPr>
        <w:rPr>
          <w:rFonts w:ascii="Times New Roman" w:hAnsi="Times New Roman"/>
          <w:sz w:val="24"/>
          <w:szCs w:val="24"/>
        </w:rPr>
      </w:pPr>
    </w:p>
    <w:p w:rsidR="00976180" w:rsidRDefault="00976180" w:rsidP="00BA72B6">
      <w:pPr>
        <w:rPr>
          <w:rFonts w:ascii="Times New Roman" w:hAnsi="Times New Roman"/>
          <w:sz w:val="24"/>
          <w:szCs w:val="24"/>
        </w:rPr>
      </w:pPr>
    </w:p>
    <w:p w:rsidR="00BA72B6" w:rsidRPr="00962B87" w:rsidRDefault="00BA72B6" w:rsidP="00BA72B6">
      <w:pPr>
        <w:rPr>
          <w:rFonts w:ascii="Times New Roman" w:hAnsi="Times New Roman"/>
          <w:color w:val="92D050"/>
          <w:sz w:val="24"/>
          <w:szCs w:val="24"/>
        </w:rPr>
      </w:pPr>
    </w:p>
    <w:p w:rsidR="00962B87" w:rsidRPr="00962B87" w:rsidRDefault="00BA72B6" w:rsidP="00962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</w:rPr>
      </w:pPr>
      <w:r w:rsidRPr="00962B87">
        <w:rPr>
          <w:rFonts w:ascii="Times New Roman" w:hAnsi="Times New Roman"/>
          <w:color w:val="92D050"/>
          <w:sz w:val="24"/>
          <w:szCs w:val="24"/>
        </w:rPr>
        <w:tab/>
      </w:r>
      <w:r w:rsidRPr="00962B87">
        <w:rPr>
          <w:rFonts w:ascii="Times New Roman" w:hAnsi="Times New Roman"/>
          <w:b/>
          <w:bCs/>
          <w:color w:val="002060"/>
          <w:sz w:val="24"/>
          <w:szCs w:val="24"/>
        </w:rPr>
        <w:t>2012 YILI İLK ALTI AYLIK UYGULAMA SONUÇLARI:</w:t>
      </w:r>
    </w:p>
    <w:p w:rsidR="00BA72B6" w:rsidRPr="001E69C5" w:rsidRDefault="00BA72B6" w:rsidP="00BA7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FF"/>
          <w:sz w:val="24"/>
          <w:szCs w:val="24"/>
        </w:rPr>
      </w:pPr>
      <w:r w:rsidRPr="001E69C5"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 xml:space="preserve">1- </w:t>
      </w:r>
      <w:r w:rsidRPr="001E69C5">
        <w:rPr>
          <w:rFonts w:ascii="TimesNewRomanPSMT" w:hAnsi="TimesNewRomanPSMT" w:cs="TimesNewRomanPSMT"/>
          <w:color w:val="0000FF"/>
          <w:sz w:val="24"/>
          <w:szCs w:val="24"/>
        </w:rPr>
        <w:t>Bütçe Gelirlerinin Gelişimi</w:t>
      </w:r>
    </w:p>
    <w:p w:rsidR="00BA72B6" w:rsidRDefault="00962B87" w:rsidP="000F7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 xml:space="preserve"> </w:t>
      </w:r>
      <w:r w:rsidR="00BA72B6" w:rsidRPr="001E69C5"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 xml:space="preserve">2- </w:t>
      </w:r>
      <w:r w:rsidR="00BA72B6" w:rsidRPr="001E69C5">
        <w:rPr>
          <w:rFonts w:ascii="TimesNewRomanPSMT" w:hAnsi="TimesNewRomanPSMT" w:cs="TimesNewRomanPSMT"/>
          <w:color w:val="0000FF"/>
          <w:sz w:val="24"/>
          <w:szCs w:val="24"/>
        </w:rPr>
        <w:t>Bütçe Giderlerinin Gelişimi</w:t>
      </w:r>
    </w:p>
    <w:p w:rsidR="00EB67B6" w:rsidRPr="00BA72B6" w:rsidRDefault="00EB67B6" w:rsidP="00BA72B6">
      <w:pPr>
        <w:rPr>
          <w:rFonts w:ascii="Times New Roman" w:hAnsi="Times New Roman"/>
          <w:sz w:val="24"/>
          <w:szCs w:val="24"/>
        </w:rPr>
        <w:sectPr w:rsidR="00EB67B6" w:rsidRPr="00BA72B6" w:rsidSect="000374D8">
          <w:headerReference w:type="default" r:id="rId18"/>
          <w:footerReference w:type="default" r:id="rId19"/>
          <w:pgSz w:w="11906" w:h="16838" w:code="9"/>
          <w:pgMar w:top="1276" w:right="1077" w:bottom="426" w:left="1077" w:header="850" w:footer="567" w:gutter="0"/>
          <w:cols w:space="708"/>
          <w:titlePg/>
          <w:docGrid w:linePitch="360"/>
        </w:sectPr>
      </w:pPr>
    </w:p>
    <w:p w:rsidR="002268D7" w:rsidRDefault="00596808" w:rsidP="00A87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lastRenderedPageBreak/>
        <w:drawing>
          <wp:inline distT="0" distB="0" distL="0" distR="0">
            <wp:extent cx="10410825" cy="7362825"/>
            <wp:effectExtent l="1905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825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B56" w:rsidRDefault="00596808" w:rsidP="00A87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lastRenderedPageBreak/>
        <w:drawing>
          <wp:inline distT="0" distB="0" distL="0" distR="0">
            <wp:extent cx="10420350" cy="6943725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B56" w:rsidSect="008C3B56">
      <w:headerReference w:type="default" r:id="rId22"/>
      <w:pgSz w:w="16838" w:h="11906" w:orient="landscape" w:code="9"/>
      <w:pgMar w:top="0" w:right="253" w:bottom="0" w:left="142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61" w:rsidRDefault="00B00F61" w:rsidP="00526F53">
      <w:pPr>
        <w:spacing w:after="0" w:line="240" w:lineRule="auto"/>
      </w:pPr>
      <w:r>
        <w:separator/>
      </w:r>
    </w:p>
  </w:endnote>
  <w:endnote w:type="continuationSeparator" w:id="0">
    <w:p w:rsidR="00B00F61" w:rsidRDefault="00B00F61" w:rsidP="005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E12" w:rsidRDefault="00B00F6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1D9F">
      <w:rPr>
        <w:noProof/>
      </w:rPr>
      <w:t>2</w:t>
    </w:r>
    <w:r>
      <w:rPr>
        <w:noProof/>
      </w:rPr>
      <w:fldChar w:fldCharType="end"/>
    </w:r>
  </w:p>
  <w:p w:rsidR="00766E12" w:rsidRDefault="00766E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61" w:rsidRDefault="00B00F61" w:rsidP="00526F53">
      <w:pPr>
        <w:spacing w:after="0" w:line="240" w:lineRule="auto"/>
      </w:pPr>
      <w:r>
        <w:separator/>
      </w:r>
    </w:p>
  </w:footnote>
  <w:footnote w:type="continuationSeparator" w:id="0">
    <w:p w:rsidR="00B00F61" w:rsidRDefault="00B00F61" w:rsidP="005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E12" w:rsidRPr="005C73E7" w:rsidRDefault="00766E12" w:rsidP="005C73E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5C73E7">
      <w:rPr>
        <w:rFonts w:ascii="Times New Roman" w:hAnsi="Times New Roman"/>
        <w:color w:val="000000"/>
        <w:sz w:val="20"/>
        <w:szCs w:val="20"/>
      </w:rPr>
      <w:t>IĞDIR ÜNİVERSİTESİ 2012 YILI KURUMSAL MALİ DURUM VE BEKLENTİLER RAPORU</w:t>
    </w:r>
  </w:p>
  <w:p w:rsidR="00766E12" w:rsidRPr="005C73E7" w:rsidRDefault="00766E12" w:rsidP="005C73E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5C73E7">
      <w:rPr>
        <w:rFonts w:ascii="Times New Roman" w:hAnsi="Times New Roman"/>
        <w:color w:val="000000"/>
        <w:sz w:val="20"/>
        <w:szCs w:val="20"/>
      </w:rPr>
      <w:t>STRATEJİ GELİŞTİRME DAİRE BAŞKANLIĞI – 2 0 1 2</w:t>
    </w:r>
  </w:p>
  <w:p w:rsidR="00766E12" w:rsidRDefault="00766E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E12" w:rsidRDefault="00766E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63D4"/>
    <w:multiLevelType w:val="hybridMultilevel"/>
    <w:tmpl w:val="26D8716E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DD718B"/>
    <w:multiLevelType w:val="hybridMultilevel"/>
    <w:tmpl w:val="8DCC7036"/>
    <w:lvl w:ilvl="0" w:tplc="5B123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B9756F5"/>
    <w:multiLevelType w:val="hybridMultilevel"/>
    <w:tmpl w:val="5942D52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6650C"/>
    <w:multiLevelType w:val="hybridMultilevel"/>
    <w:tmpl w:val="18502EC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C5494"/>
    <w:multiLevelType w:val="hybridMultilevel"/>
    <w:tmpl w:val="078C0026"/>
    <w:lvl w:ilvl="0" w:tplc="3F9E026A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C5"/>
    <w:rsid w:val="0001074C"/>
    <w:rsid w:val="0001414A"/>
    <w:rsid w:val="00016FE5"/>
    <w:rsid w:val="00022764"/>
    <w:rsid w:val="00022E01"/>
    <w:rsid w:val="0002711D"/>
    <w:rsid w:val="000374D8"/>
    <w:rsid w:val="00052C1D"/>
    <w:rsid w:val="0005586C"/>
    <w:rsid w:val="0005725E"/>
    <w:rsid w:val="00061C9D"/>
    <w:rsid w:val="00061D35"/>
    <w:rsid w:val="0007348B"/>
    <w:rsid w:val="0007354C"/>
    <w:rsid w:val="00081BE2"/>
    <w:rsid w:val="0008293C"/>
    <w:rsid w:val="00084E48"/>
    <w:rsid w:val="00093914"/>
    <w:rsid w:val="000A6C58"/>
    <w:rsid w:val="000A7DF2"/>
    <w:rsid w:val="000B26BC"/>
    <w:rsid w:val="000B58A6"/>
    <w:rsid w:val="000B5C29"/>
    <w:rsid w:val="000C5F85"/>
    <w:rsid w:val="000E193D"/>
    <w:rsid w:val="000E22F5"/>
    <w:rsid w:val="000F646A"/>
    <w:rsid w:val="000F7E79"/>
    <w:rsid w:val="001071D0"/>
    <w:rsid w:val="001120A0"/>
    <w:rsid w:val="00120EFB"/>
    <w:rsid w:val="001272F1"/>
    <w:rsid w:val="001320B8"/>
    <w:rsid w:val="0013247F"/>
    <w:rsid w:val="00132CA0"/>
    <w:rsid w:val="00134A96"/>
    <w:rsid w:val="00143F94"/>
    <w:rsid w:val="0016008D"/>
    <w:rsid w:val="00162D23"/>
    <w:rsid w:val="001661D2"/>
    <w:rsid w:val="00167856"/>
    <w:rsid w:val="00170628"/>
    <w:rsid w:val="00180DEE"/>
    <w:rsid w:val="0018144D"/>
    <w:rsid w:val="00196BBD"/>
    <w:rsid w:val="001A1EF3"/>
    <w:rsid w:val="001A2919"/>
    <w:rsid w:val="001A6C70"/>
    <w:rsid w:val="001B46B4"/>
    <w:rsid w:val="001B5216"/>
    <w:rsid w:val="001C5F3D"/>
    <w:rsid w:val="001D1C94"/>
    <w:rsid w:val="001D2040"/>
    <w:rsid w:val="001E4DCA"/>
    <w:rsid w:val="001E5B60"/>
    <w:rsid w:val="001E69C5"/>
    <w:rsid w:val="001F056F"/>
    <w:rsid w:val="001F15C6"/>
    <w:rsid w:val="00207E6C"/>
    <w:rsid w:val="00217B97"/>
    <w:rsid w:val="00220889"/>
    <w:rsid w:val="002212AF"/>
    <w:rsid w:val="002268D7"/>
    <w:rsid w:val="00227B71"/>
    <w:rsid w:val="0023454C"/>
    <w:rsid w:val="00236754"/>
    <w:rsid w:val="002370B3"/>
    <w:rsid w:val="00242732"/>
    <w:rsid w:val="00255BAF"/>
    <w:rsid w:val="0025643C"/>
    <w:rsid w:val="00256D63"/>
    <w:rsid w:val="00257196"/>
    <w:rsid w:val="00264656"/>
    <w:rsid w:val="002672ED"/>
    <w:rsid w:val="00272DEE"/>
    <w:rsid w:val="00275110"/>
    <w:rsid w:val="00282BFA"/>
    <w:rsid w:val="00286F22"/>
    <w:rsid w:val="0029068D"/>
    <w:rsid w:val="0029534A"/>
    <w:rsid w:val="002A1D9E"/>
    <w:rsid w:val="002A308A"/>
    <w:rsid w:val="002A64B2"/>
    <w:rsid w:val="002B3D50"/>
    <w:rsid w:val="002B5035"/>
    <w:rsid w:val="002C3E20"/>
    <w:rsid w:val="002C5406"/>
    <w:rsid w:val="002D37BE"/>
    <w:rsid w:val="002D4FB5"/>
    <w:rsid w:val="002F4314"/>
    <w:rsid w:val="002F7880"/>
    <w:rsid w:val="003132F9"/>
    <w:rsid w:val="003226E9"/>
    <w:rsid w:val="003254D8"/>
    <w:rsid w:val="00327447"/>
    <w:rsid w:val="00335922"/>
    <w:rsid w:val="00341571"/>
    <w:rsid w:val="00342647"/>
    <w:rsid w:val="0034783B"/>
    <w:rsid w:val="00354CAB"/>
    <w:rsid w:val="00356764"/>
    <w:rsid w:val="003635F1"/>
    <w:rsid w:val="00371E87"/>
    <w:rsid w:val="00374995"/>
    <w:rsid w:val="003770A9"/>
    <w:rsid w:val="00382E97"/>
    <w:rsid w:val="003B2075"/>
    <w:rsid w:val="003B3E36"/>
    <w:rsid w:val="003C0D93"/>
    <w:rsid w:val="003C4FE5"/>
    <w:rsid w:val="003C63C1"/>
    <w:rsid w:val="003D55B3"/>
    <w:rsid w:val="003E4E1A"/>
    <w:rsid w:val="003F3D0A"/>
    <w:rsid w:val="003F776B"/>
    <w:rsid w:val="0040009A"/>
    <w:rsid w:val="00416B5F"/>
    <w:rsid w:val="00417F83"/>
    <w:rsid w:val="00421531"/>
    <w:rsid w:val="00422FF5"/>
    <w:rsid w:val="0042413D"/>
    <w:rsid w:val="004306E4"/>
    <w:rsid w:val="00432A16"/>
    <w:rsid w:val="00434982"/>
    <w:rsid w:val="00441D0C"/>
    <w:rsid w:val="0044259B"/>
    <w:rsid w:val="004501E2"/>
    <w:rsid w:val="004535DD"/>
    <w:rsid w:val="00453622"/>
    <w:rsid w:val="0046153B"/>
    <w:rsid w:val="004668FB"/>
    <w:rsid w:val="0047235F"/>
    <w:rsid w:val="00472942"/>
    <w:rsid w:val="004739A6"/>
    <w:rsid w:val="004823F6"/>
    <w:rsid w:val="0048353B"/>
    <w:rsid w:val="00484E5D"/>
    <w:rsid w:val="004876D8"/>
    <w:rsid w:val="00490541"/>
    <w:rsid w:val="00497CA9"/>
    <w:rsid w:val="004A3FB7"/>
    <w:rsid w:val="004B1E5B"/>
    <w:rsid w:val="004B209A"/>
    <w:rsid w:val="004B79D1"/>
    <w:rsid w:val="004C204A"/>
    <w:rsid w:val="004D5D26"/>
    <w:rsid w:val="004E1C5A"/>
    <w:rsid w:val="004E7C91"/>
    <w:rsid w:val="00505D28"/>
    <w:rsid w:val="00505E13"/>
    <w:rsid w:val="00514FDB"/>
    <w:rsid w:val="00517DC1"/>
    <w:rsid w:val="00526826"/>
    <w:rsid w:val="00526F53"/>
    <w:rsid w:val="00536760"/>
    <w:rsid w:val="005372FD"/>
    <w:rsid w:val="00545996"/>
    <w:rsid w:val="00553FD0"/>
    <w:rsid w:val="00563132"/>
    <w:rsid w:val="00564BB3"/>
    <w:rsid w:val="00567B4D"/>
    <w:rsid w:val="005708B7"/>
    <w:rsid w:val="00570B54"/>
    <w:rsid w:val="005756BD"/>
    <w:rsid w:val="00580FD7"/>
    <w:rsid w:val="005834B5"/>
    <w:rsid w:val="00587424"/>
    <w:rsid w:val="00594FB2"/>
    <w:rsid w:val="00596808"/>
    <w:rsid w:val="005A1D42"/>
    <w:rsid w:val="005A4682"/>
    <w:rsid w:val="005A7726"/>
    <w:rsid w:val="005B05C2"/>
    <w:rsid w:val="005B0869"/>
    <w:rsid w:val="005B7CEC"/>
    <w:rsid w:val="005C12E7"/>
    <w:rsid w:val="005C73E7"/>
    <w:rsid w:val="005C7456"/>
    <w:rsid w:val="005D117B"/>
    <w:rsid w:val="005F257C"/>
    <w:rsid w:val="005F7835"/>
    <w:rsid w:val="00601F4C"/>
    <w:rsid w:val="00613940"/>
    <w:rsid w:val="006206A0"/>
    <w:rsid w:val="006348CF"/>
    <w:rsid w:val="00644C34"/>
    <w:rsid w:val="00655958"/>
    <w:rsid w:val="00655AC7"/>
    <w:rsid w:val="00655E12"/>
    <w:rsid w:val="00661E27"/>
    <w:rsid w:val="00665BF8"/>
    <w:rsid w:val="006728F4"/>
    <w:rsid w:val="0068529C"/>
    <w:rsid w:val="006913D1"/>
    <w:rsid w:val="006C597B"/>
    <w:rsid w:val="006C6C4A"/>
    <w:rsid w:val="006D64FE"/>
    <w:rsid w:val="006E1888"/>
    <w:rsid w:val="006F3883"/>
    <w:rsid w:val="006F4025"/>
    <w:rsid w:val="006F42C0"/>
    <w:rsid w:val="007004B6"/>
    <w:rsid w:val="00720EB1"/>
    <w:rsid w:val="00730362"/>
    <w:rsid w:val="0073595F"/>
    <w:rsid w:val="00747BEE"/>
    <w:rsid w:val="00754ECF"/>
    <w:rsid w:val="007566D8"/>
    <w:rsid w:val="007568CD"/>
    <w:rsid w:val="00766E12"/>
    <w:rsid w:val="00770A47"/>
    <w:rsid w:val="00771038"/>
    <w:rsid w:val="0077107E"/>
    <w:rsid w:val="00783969"/>
    <w:rsid w:val="007A23E3"/>
    <w:rsid w:val="007A2ADB"/>
    <w:rsid w:val="007A455D"/>
    <w:rsid w:val="007A7433"/>
    <w:rsid w:val="007A7D6D"/>
    <w:rsid w:val="007B2C3B"/>
    <w:rsid w:val="007B61B9"/>
    <w:rsid w:val="007B776E"/>
    <w:rsid w:val="007C14CA"/>
    <w:rsid w:val="007D271F"/>
    <w:rsid w:val="007D648D"/>
    <w:rsid w:val="007E7733"/>
    <w:rsid w:val="007F2EBF"/>
    <w:rsid w:val="007F691F"/>
    <w:rsid w:val="00801F06"/>
    <w:rsid w:val="008102B6"/>
    <w:rsid w:val="00814F8B"/>
    <w:rsid w:val="00817D4A"/>
    <w:rsid w:val="00821132"/>
    <w:rsid w:val="008303C6"/>
    <w:rsid w:val="00830752"/>
    <w:rsid w:val="0083343C"/>
    <w:rsid w:val="008358AD"/>
    <w:rsid w:val="00840FDD"/>
    <w:rsid w:val="008411D4"/>
    <w:rsid w:val="008462E6"/>
    <w:rsid w:val="00853F8C"/>
    <w:rsid w:val="00854910"/>
    <w:rsid w:val="00873D54"/>
    <w:rsid w:val="00876D68"/>
    <w:rsid w:val="008836F5"/>
    <w:rsid w:val="00885D8A"/>
    <w:rsid w:val="008918A4"/>
    <w:rsid w:val="008A1D2A"/>
    <w:rsid w:val="008A2642"/>
    <w:rsid w:val="008A58DE"/>
    <w:rsid w:val="008B5436"/>
    <w:rsid w:val="008C3B56"/>
    <w:rsid w:val="008C5D0B"/>
    <w:rsid w:val="008D1295"/>
    <w:rsid w:val="008D6AD2"/>
    <w:rsid w:val="008F55F4"/>
    <w:rsid w:val="009002C2"/>
    <w:rsid w:val="009002FF"/>
    <w:rsid w:val="00901658"/>
    <w:rsid w:val="00905A77"/>
    <w:rsid w:val="0091152D"/>
    <w:rsid w:val="009209F9"/>
    <w:rsid w:val="009223DA"/>
    <w:rsid w:val="009236D8"/>
    <w:rsid w:val="00927003"/>
    <w:rsid w:val="0093079F"/>
    <w:rsid w:val="00933602"/>
    <w:rsid w:val="009342B7"/>
    <w:rsid w:val="00934380"/>
    <w:rsid w:val="00934E23"/>
    <w:rsid w:val="00941E5C"/>
    <w:rsid w:val="00942597"/>
    <w:rsid w:val="009462F6"/>
    <w:rsid w:val="0095232C"/>
    <w:rsid w:val="00957657"/>
    <w:rsid w:val="00962B87"/>
    <w:rsid w:val="00966756"/>
    <w:rsid w:val="0096773E"/>
    <w:rsid w:val="00976180"/>
    <w:rsid w:val="00982B08"/>
    <w:rsid w:val="009918BE"/>
    <w:rsid w:val="009A1021"/>
    <w:rsid w:val="009A315F"/>
    <w:rsid w:val="009C129B"/>
    <w:rsid w:val="009D002D"/>
    <w:rsid w:val="009D39DF"/>
    <w:rsid w:val="009E044C"/>
    <w:rsid w:val="009F1123"/>
    <w:rsid w:val="009F1596"/>
    <w:rsid w:val="009F1D9F"/>
    <w:rsid w:val="00A03367"/>
    <w:rsid w:val="00A037F2"/>
    <w:rsid w:val="00A060C8"/>
    <w:rsid w:val="00A072F9"/>
    <w:rsid w:val="00A20EB2"/>
    <w:rsid w:val="00A21DCA"/>
    <w:rsid w:val="00A26C0E"/>
    <w:rsid w:val="00A27C18"/>
    <w:rsid w:val="00A33386"/>
    <w:rsid w:val="00A340E6"/>
    <w:rsid w:val="00A34C06"/>
    <w:rsid w:val="00A411EA"/>
    <w:rsid w:val="00A4221D"/>
    <w:rsid w:val="00A5029E"/>
    <w:rsid w:val="00A646D9"/>
    <w:rsid w:val="00A87465"/>
    <w:rsid w:val="00A908E2"/>
    <w:rsid w:val="00A91137"/>
    <w:rsid w:val="00A91AE3"/>
    <w:rsid w:val="00A9333E"/>
    <w:rsid w:val="00AB2523"/>
    <w:rsid w:val="00AB2E36"/>
    <w:rsid w:val="00AC1A05"/>
    <w:rsid w:val="00AC313E"/>
    <w:rsid w:val="00AC33AD"/>
    <w:rsid w:val="00AC464C"/>
    <w:rsid w:val="00AC5A29"/>
    <w:rsid w:val="00AC6630"/>
    <w:rsid w:val="00AC725B"/>
    <w:rsid w:val="00AD1CC9"/>
    <w:rsid w:val="00AD3BEE"/>
    <w:rsid w:val="00AD764B"/>
    <w:rsid w:val="00AE3D79"/>
    <w:rsid w:val="00AF6AB1"/>
    <w:rsid w:val="00AF7E5D"/>
    <w:rsid w:val="00B00F61"/>
    <w:rsid w:val="00B0267B"/>
    <w:rsid w:val="00B0460E"/>
    <w:rsid w:val="00B12C01"/>
    <w:rsid w:val="00B1510B"/>
    <w:rsid w:val="00B176F0"/>
    <w:rsid w:val="00B3644B"/>
    <w:rsid w:val="00B4351D"/>
    <w:rsid w:val="00B451C4"/>
    <w:rsid w:val="00B46BCA"/>
    <w:rsid w:val="00B50D4A"/>
    <w:rsid w:val="00B612E0"/>
    <w:rsid w:val="00B72A6C"/>
    <w:rsid w:val="00B741AA"/>
    <w:rsid w:val="00B75125"/>
    <w:rsid w:val="00B91C9D"/>
    <w:rsid w:val="00B93989"/>
    <w:rsid w:val="00B94DDC"/>
    <w:rsid w:val="00BA1435"/>
    <w:rsid w:val="00BA2BA9"/>
    <w:rsid w:val="00BA72B6"/>
    <w:rsid w:val="00BB1131"/>
    <w:rsid w:val="00BB327B"/>
    <w:rsid w:val="00BB4C7D"/>
    <w:rsid w:val="00BC5903"/>
    <w:rsid w:val="00BD1362"/>
    <w:rsid w:val="00BE41D2"/>
    <w:rsid w:val="00BE7E10"/>
    <w:rsid w:val="00BF4C8C"/>
    <w:rsid w:val="00C01F2E"/>
    <w:rsid w:val="00C02C2F"/>
    <w:rsid w:val="00C0734B"/>
    <w:rsid w:val="00C12E6D"/>
    <w:rsid w:val="00C1416B"/>
    <w:rsid w:val="00C21D7B"/>
    <w:rsid w:val="00C24834"/>
    <w:rsid w:val="00C32880"/>
    <w:rsid w:val="00C32D88"/>
    <w:rsid w:val="00C37869"/>
    <w:rsid w:val="00C37D72"/>
    <w:rsid w:val="00C446D0"/>
    <w:rsid w:val="00C46A46"/>
    <w:rsid w:val="00C470AD"/>
    <w:rsid w:val="00C51FDC"/>
    <w:rsid w:val="00C64CA6"/>
    <w:rsid w:val="00C708D5"/>
    <w:rsid w:val="00C72CF4"/>
    <w:rsid w:val="00C74976"/>
    <w:rsid w:val="00C776E5"/>
    <w:rsid w:val="00C97AB6"/>
    <w:rsid w:val="00CA4A39"/>
    <w:rsid w:val="00CA5B03"/>
    <w:rsid w:val="00CA7C87"/>
    <w:rsid w:val="00CB0212"/>
    <w:rsid w:val="00CB1D07"/>
    <w:rsid w:val="00CB237B"/>
    <w:rsid w:val="00CB4AD8"/>
    <w:rsid w:val="00CB6BC6"/>
    <w:rsid w:val="00CC1B1E"/>
    <w:rsid w:val="00CC25E7"/>
    <w:rsid w:val="00CC3AC5"/>
    <w:rsid w:val="00CC7BF9"/>
    <w:rsid w:val="00CD03DA"/>
    <w:rsid w:val="00CD63A6"/>
    <w:rsid w:val="00CE1443"/>
    <w:rsid w:val="00CF2EB3"/>
    <w:rsid w:val="00D0588A"/>
    <w:rsid w:val="00D07CF0"/>
    <w:rsid w:val="00D21759"/>
    <w:rsid w:val="00D24D38"/>
    <w:rsid w:val="00D31747"/>
    <w:rsid w:val="00D345C0"/>
    <w:rsid w:val="00D34CEE"/>
    <w:rsid w:val="00D35250"/>
    <w:rsid w:val="00D42A26"/>
    <w:rsid w:val="00D464D3"/>
    <w:rsid w:val="00D7445B"/>
    <w:rsid w:val="00D74943"/>
    <w:rsid w:val="00D81876"/>
    <w:rsid w:val="00D83CDF"/>
    <w:rsid w:val="00D86BB2"/>
    <w:rsid w:val="00DA1B61"/>
    <w:rsid w:val="00DA5F2A"/>
    <w:rsid w:val="00DB4608"/>
    <w:rsid w:val="00DB5668"/>
    <w:rsid w:val="00DB6E82"/>
    <w:rsid w:val="00DB75DF"/>
    <w:rsid w:val="00DB7AD5"/>
    <w:rsid w:val="00DC409E"/>
    <w:rsid w:val="00DC7517"/>
    <w:rsid w:val="00DE0615"/>
    <w:rsid w:val="00DE5418"/>
    <w:rsid w:val="00DF611C"/>
    <w:rsid w:val="00E01310"/>
    <w:rsid w:val="00E1410D"/>
    <w:rsid w:val="00E147DF"/>
    <w:rsid w:val="00E1567F"/>
    <w:rsid w:val="00E17F2F"/>
    <w:rsid w:val="00E521EA"/>
    <w:rsid w:val="00E52449"/>
    <w:rsid w:val="00E603FE"/>
    <w:rsid w:val="00E6779B"/>
    <w:rsid w:val="00E7531B"/>
    <w:rsid w:val="00E87F15"/>
    <w:rsid w:val="00E92B00"/>
    <w:rsid w:val="00EA4348"/>
    <w:rsid w:val="00EA5E7D"/>
    <w:rsid w:val="00EA6178"/>
    <w:rsid w:val="00EA7264"/>
    <w:rsid w:val="00EB43E4"/>
    <w:rsid w:val="00EB6309"/>
    <w:rsid w:val="00EB67B6"/>
    <w:rsid w:val="00EC759B"/>
    <w:rsid w:val="00ED1203"/>
    <w:rsid w:val="00ED18B3"/>
    <w:rsid w:val="00ED24C7"/>
    <w:rsid w:val="00ED39DE"/>
    <w:rsid w:val="00ED4040"/>
    <w:rsid w:val="00ED4495"/>
    <w:rsid w:val="00EE4424"/>
    <w:rsid w:val="00EF0F14"/>
    <w:rsid w:val="00EF79B6"/>
    <w:rsid w:val="00F02627"/>
    <w:rsid w:val="00F04EDB"/>
    <w:rsid w:val="00F1158E"/>
    <w:rsid w:val="00F218A9"/>
    <w:rsid w:val="00F25F4B"/>
    <w:rsid w:val="00F46025"/>
    <w:rsid w:val="00F4744C"/>
    <w:rsid w:val="00F66C4F"/>
    <w:rsid w:val="00F76E79"/>
    <w:rsid w:val="00F77907"/>
    <w:rsid w:val="00F83EBE"/>
    <w:rsid w:val="00FA359C"/>
    <w:rsid w:val="00FB0104"/>
    <w:rsid w:val="00FB23D0"/>
    <w:rsid w:val="00FB2A88"/>
    <w:rsid w:val="00FB399A"/>
    <w:rsid w:val="00FB5B61"/>
    <w:rsid w:val="00FC01E9"/>
    <w:rsid w:val="00FC05E7"/>
    <w:rsid w:val="00FC16EE"/>
    <w:rsid w:val="00FC35DB"/>
    <w:rsid w:val="00FC5963"/>
    <w:rsid w:val="00FC5A22"/>
    <w:rsid w:val="00FD6300"/>
    <w:rsid w:val="00FD6512"/>
    <w:rsid w:val="00FE136D"/>
    <w:rsid w:val="00FE6A0F"/>
    <w:rsid w:val="00FE76CD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8D4FE-CE08-4E31-B93F-4183BCFE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3C6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324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324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3247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2E6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24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324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3247F"/>
    <w:rPr>
      <w:rFonts w:ascii="Cambria" w:eastAsia="Times New Roman" w:hAnsi="Cambria" w:cs="Times New Roman"/>
      <w:b/>
      <w:bCs/>
      <w:color w:val="4F81BD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2E6D"/>
    <w:rPr>
      <w:rFonts w:ascii="Cambria" w:eastAsia="Times New Roman" w:hAnsi="Cambria" w:cs="Times New Roman"/>
      <w:b/>
      <w:bCs/>
      <w:i/>
      <w:iCs/>
      <w:color w:val="4F81B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69C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87424"/>
    <w:pPr>
      <w:ind w:left="720"/>
      <w:contextualSpacing/>
    </w:pPr>
  </w:style>
  <w:style w:type="table" w:styleId="TabloKlavuzu">
    <w:name w:val="Table Grid"/>
    <w:basedOn w:val="NormalTablo"/>
    <w:uiPriority w:val="59"/>
    <w:rsid w:val="00497C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52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F53"/>
  </w:style>
  <w:style w:type="paragraph" w:styleId="AltBilgi">
    <w:name w:val="footer"/>
    <w:basedOn w:val="Normal"/>
    <w:link w:val="AltBilgiChar"/>
    <w:uiPriority w:val="99"/>
    <w:unhideWhenUsed/>
    <w:rsid w:val="0052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F53"/>
  </w:style>
  <w:style w:type="paragraph" w:styleId="ResimYazs">
    <w:name w:val="caption"/>
    <w:basedOn w:val="Normal"/>
    <w:next w:val="Normal"/>
    <w:uiPriority w:val="35"/>
    <w:unhideWhenUsed/>
    <w:qFormat/>
    <w:rsid w:val="0091152D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AkGlgeleme1">
    <w:name w:val="Açık Gölgeleme1"/>
    <w:basedOn w:val="NormalTablo"/>
    <w:uiPriority w:val="60"/>
    <w:rsid w:val="001F056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kGlgeleme-Vurgu11">
    <w:name w:val="Açık Gölgeleme - Vurgu 11"/>
    <w:basedOn w:val="NormalTablo"/>
    <w:uiPriority w:val="60"/>
    <w:rsid w:val="001F056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kGlgeleme-Vurgu2">
    <w:name w:val="Light Shading Accent 2"/>
    <w:basedOn w:val="NormalTablo"/>
    <w:uiPriority w:val="60"/>
    <w:rsid w:val="001F056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OrtaGlgeleme1-Vurgu4">
    <w:name w:val="Medium Shading 1 Accent 4"/>
    <w:basedOn w:val="NormalTablo"/>
    <w:uiPriority w:val="63"/>
    <w:rsid w:val="001F056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47294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47294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-Vurgu3">
    <w:name w:val="Light Shading Accent 3"/>
    <w:basedOn w:val="NormalTablo"/>
    <w:uiPriority w:val="60"/>
    <w:rsid w:val="0045362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OrtaGlgeleme1-Vurgu3">
    <w:name w:val="Medium Shading 1 Accent 3"/>
    <w:basedOn w:val="NormalTablo"/>
    <w:uiPriority w:val="63"/>
    <w:rsid w:val="0045362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45362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45362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-Vurgu5">
    <w:name w:val="Light Shading Accent 5"/>
    <w:basedOn w:val="NormalTablo"/>
    <w:uiPriority w:val="60"/>
    <w:rsid w:val="0045362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kListe-Vurgu5">
    <w:name w:val="Light List Accent 5"/>
    <w:basedOn w:val="NormalTablo"/>
    <w:uiPriority w:val="61"/>
    <w:rsid w:val="0045362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kKlavuz1">
    <w:name w:val="Açık Kılavuz1"/>
    <w:basedOn w:val="NormalTablo"/>
    <w:uiPriority w:val="62"/>
    <w:rsid w:val="0045362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kListe-Vurgu6">
    <w:name w:val="Light List Accent 6"/>
    <w:basedOn w:val="NormalTablo"/>
    <w:uiPriority w:val="61"/>
    <w:rsid w:val="0045362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xl63">
    <w:name w:val="xl63"/>
    <w:basedOn w:val="Normal"/>
    <w:rsid w:val="00BD1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/>
      <w:b/>
      <w:bCs/>
      <w:sz w:val="14"/>
      <w:szCs w:val="14"/>
      <w:lang w:eastAsia="tr-TR"/>
    </w:rPr>
  </w:style>
  <w:style w:type="paragraph" w:customStyle="1" w:styleId="xl64">
    <w:name w:val="xl64"/>
    <w:basedOn w:val="Normal"/>
    <w:rsid w:val="00BD1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/>
      <w:b/>
      <w:bCs/>
      <w:sz w:val="14"/>
      <w:szCs w:val="14"/>
      <w:lang w:eastAsia="tr-TR"/>
    </w:rPr>
  </w:style>
  <w:style w:type="paragraph" w:customStyle="1" w:styleId="xl65">
    <w:name w:val="xl65"/>
    <w:basedOn w:val="Normal"/>
    <w:rsid w:val="00BD1362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color w:val="000000"/>
      <w:sz w:val="14"/>
      <w:szCs w:val="14"/>
      <w:lang w:eastAsia="tr-TR"/>
    </w:rPr>
  </w:style>
  <w:style w:type="paragraph" w:customStyle="1" w:styleId="xl66">
    <w:name w:val="xl66"/>
    <w:basedOn w:val="Normal"/>
    <w:rsid w:val="00BD1362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color w:val="000000"/>
      <w:sz w:val="14"/>
      <w:szCs w:val="14"/>
      <w:lang w:eastAsia="tr-TR"/>
    </w:rPr>
  </w:style>
  <w:style w:type="paragraph" w:customStyle="1" w:styleId="xl67">
    <w:name w:val="xl67"/>
    <w:basedOn w:val="Normal"/>
    <w:rsid w:val="00BD1362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68">
    <w:name w:val="xl68"/>
    <w:basedOn w:val="Normal"/>
    <w:rsid w:val="00BD1362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69">
    <w:name w:val="xl69"/>
    <w:basedOn w:val="Normal"/>
    <w:rsid w:val="00BD1362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b/>
      <w:bCs/>
      <w:color w:val="000000"/>
      <w:sz w:val="14"/>
      <w:szCs w:val="14"/>
      <w:lang w:eastAsia="tr-TR"/>
    </w:rPr>
  </w:style>
  <w:style w:type="paragraph" w:customStyle="1" w:styleId="xl70">
    <w:name w:val="xl70"/>
    <w:basedOn w:val="Normal"/>
    <w:rsid w:val="00BD1362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71">
    <w:name w:val="xl71"/>
    <w:basedOn w:val="Normal"/>
    <w:rsid w:val="00BD1362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b/>
      <w:bCs/>
      <w:sz w:val="14"/>
      <w:szCs w:val="14"/>
      <w:lang w:eastAsia="tr-TR"/>
    </w:rPr>
  </w:style>
  <w:style w:type="paragraph" w:customStyle="1" w:styleId="xl72">
    <w:name w:val="xl72"/>
    <w:basedOn w:val="Normal"/>
    <w:rsid w:val="00BD1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sz w:val="14"/>
      <w:szCs w:val="14"/>
      <w:lang w:eastAsia="tr-TR"/>
    </w:rPr>
  </w:style>
  <w:style w:type="paragraph" w:customStyle="1" w:styleId="xl73">
    <w:name w:val="xl73"/>
    <w:basedOn w:val="Normal"/>
    <w:rsid w:val="00BD136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sz w:val="14"/>
      <w:szCs w:val="14"/>
      <w:lang w:eastAsia="tr-TR"/>
    </w:rPr>
  </w:style>
  <w:style w:type="paragraph" w:customStyle="1" w:styleId="xl74">
    <w:name w:val="xl74"/>
    <w:basedOn w:val="Normal"/>
    <w:rsid w:val="00BD1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/>
      <w:b/>
      <w:bCs/>
      <w:sz w:val="14"/>
      <w:szCs w:val="14"/>
      <w:lang w:eastAsia="tr-TR"/>
    </w:rPr>
  </w:style>
  <w:style w:type="paragraph" w:customStyle="1" w:styleId="xl75">
    <w:name w:val="xl75"/>
    <w:basedOn w:val="Normal"/>
    <w:rsid w:val="00BD1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sz w:val="14"/>
      <w:szCs w:val="14"/>
      <w:lang w:eastAsia="tr-TR"/>
    </w:rPr>
  </w:style>
  <w:style w:type="paragraph" w:customStyle="1" w:styleId="xl76">
    <w:name w:val="xl76"/>
    <w:basedOn w:val="Normal"/>
    <w:rsid w:val="00BD136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rebuchet MS" w:eastAsia="Times New Roman" w:hAnsi="Trebuchet MS"/>
      <w:b/>
      <w:bCs/>
      <w:sz w:val="14"/>
      <w:szCs w:val="14"/>
      <w:lang w:eastAsia="tr-TR"/>
    </w:rPr>
  </w:style>
  <w:style w:type="paragraph" w:customStyle="1" w:styleId="xl77">
    <w:name w:val="xl77"/>
    <w:basedOn w:val="Normal"/>
    <w:rsid w:val="00BD1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78">
    <w:name w:val="xl78"/>
    <w:basedOn w:val="Normal"/>
    <w:rsid w:val="00BD1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79">
    <w:name w:val="xl79"/>
    <w:basedOn w:val="Normal"/>
    <w:rsid w:val="00BD136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80">
    <w:name w:val="xl80"/>
    <w:basedOn w:val="Normal"/>
    <w:rsid w:val="00BD1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81">
    <w:name w:val="xl81"/>
    <w:basedOn w:val="Normal"/>
    <w:rsid w:val="00BD136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82">
    <w:name w:val="xl82"/>
    <w:basedOn w:val="Normal"/>
    <w:rsid w:val="00BD1362"/>
    <w:pPr>
      <w:spacing w:before="100" w:beforeAutospacing="1" w:after="100" w:afterAutospacing="1" w:line="240" w:lineRule="auto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83">
    <w:name w:val="xl83"/>
    <w:basedOn w:val="Normal"/>
    <w:rsid w:val="00BD136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84">
    <w:name w:val="xl84"/>
    <w:basedOn w:val="Normal"/>
    <w:rsid w:val="00BD1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85">
    <w:name w:val="xl85"/>
    <w:basedOn w:val="Normal"/>
    <w:rsid w:val="00BD1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86">
    <w:name w:val="xl86"/>
    <w:basedOn w:val="Normal"/>
    <w:rsid w:val="00BD136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87">
    <w:name w:val="xl87"/>
    <w:basedOn w:val="Normal"/>
    <w:rsid w:val="00BD136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88">
    <w:name w:val="xl88"/>
    <w:basedOn w:val="Normal"/>
    <w:rsid w:val="00BD1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sz w:val="14"/>
      <w:szCs w:val="14"/>
      <w:lang w:eastAsia="tr-TR"/>
    </w:rPr>
  </w:style>
  <w:style w:type="paragraph" w:customStyle="1" w:styleId="xl89">
    <w:name w:val="xl89"/>
    <w:basedOn w:val="Normal"/>
    <w:rsid w:val="00BD136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90">
    <w:name w:val="xl90"/>
    <w:basedOn w:val="Normal"/>
    <w:rsid w:val="00BD136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91">
    <w:name w:val="xl91"/>
    <w:basedOn w:val="Normal"/>
    <w:rsid w:val="00BD136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/>
      <w:sz w:val="14"/>
      <w:szCs w:val="14"/>
      <w:lang w:eastAsia="tr-TR"/>
    </w:rPr>
  </w:style>
  <w:style w:type="paragraph" w:customStyle="1" w:styleId="xl92">
    <w:name w:val="xl92"/>
    <w:basedOn w:val="Normal"/>
    <w:rsid w:val="00BD1362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0F646A"/>
    <w:rPr>
      <w:rFonts w:eastAsia="Times New Roman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0F646A"/>
    <w:rPr>
      <w:rFonts w:eastAsia="Times New Roman"/>
      <w:sz w:val="22"/>
      <w:szCs w:val="22"/>
      <w:lang w:val="tr-TR" w:eastAsia="en-US" w:bidi="ar-SA"/>
    </w:rPr>
  </w:style>
  <w:style w:type="character" w:styleId="Kpr">
    <w:name w:val="Hyperlink"/>
    <w:basedOn w:val="VarsaylanParagrafYazTipi"/>
    <w:uiPriority w:val="99"/>
    <w:unhideWhenUsed/>
    <w:rsid w:val="00EB6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5.emf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accent2">
                    <a:lumMod val="50000"/>
                  </a:schemeClr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tr-TR" sz="1032" dirty="0" smtClean="0">
                <a:solidFill>
                  <a:schemeClr val="accent2">
                    <a:lumMod val="50000"/>
                  </a:schemeClr>
                </a:solidFill>
                <a:latin typeface="Times New Roman" pitchFamily="18" charset="0"/>
                <a:cs typeface="Times New Roman" pitchFamily="18" charset="0"/>
              </a:rPr>
              <a:t>2012</a:t>
            </a:r>
            <a:r>
              <a:rPr lang="tr-TR" sz="1032" baseline="0" dirty="0" smtClean="0">
                <a:solidFill>
                  <a:schemeClr val="accent2">
                    <a:lumMod val="50000"/>
                  </a:schemeClr>
                </a:solidFill>
                <a:latin typeface="Times New Roman" pitchFamily="18" charset="0"/>
                <a:cs typeface="Times New Roman" pitchFamily="18" charset="0"/>
              </a:rPr>
              <a:t> Ocak-Haziran Dönemi Yapılan Harcamalar </a:t>
            </a:r>
            <a:endParaRPr lang="en-US" sz="1200" dirty="0">
              <a:solidFill>
                <a:schemeClr val="accent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501288796299563"/>
          <c:y val="3.1864016997875291E-2"/>
        </c:manualLayout>
      </c:layout>
      <c:overlay val="0"/>
    </c:title>
    <c:autoTitleDeleted val="0"/>
    <c:view3D>
      <c:rotX val="30"/>
      <c:rotY val="1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2.1536278104176073E-2"/>
          <c:w val="0.96021158055990652"/>
          <c:h val="0.97846372189581743"/>
        </c:manualLayout>
      </c:layout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Seri 1</c:v>
                </c:pt>
              </c:strCache>
            </c:strRef>
          </c:tx>
          <c:explosion val="25"/>
          <c:dPt>
            <c:idx val="0"/>
            <c:bubble3D val="0"/>
            <c:explosion val="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  <a:ln w="103752">
                <a:noFill/>
              </a:ln>
              <a:effectLst>
                <a:innerShdw blurRad="63500" dist="50800" dir="13500000">
                  <a:schemeClr val="bg1">
                    <a:alpha val="50000"/>
                  </a:schemeClr>
                </a:innerShdw>
              </a:effectLst>
              <a:scene3d>
                <a:camera prst="orthographicFront"/>
                <a:lightRig rig="threePt" dir="t"/>
              </a:scene3d>
              <a:sp3d>
                <a:bevelT prst="relaxedInset"/>
                <a:bevelB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0-0F66-41B2-8268-6FB72DFC0F32}"/>
              </c:ext>
            </c:extLst>
          </c:dPt>
          <c:dPt>
            <c:idx val="1"/>
            <c:bubble3D val="0"/>
            <c:explosion val="22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1-0F66-41B2-8268-6FB72DFC0F32}"/>
              </c:ext>
            </c:extLst>
          </c:dPt>
          <c:dLbls>
            <c:dLbl>
              <c:idx val="0"/>
              <c:layout>
                <c:manualLayout>
                  <c:x val="1.7264622077882347E-2"/>
                  <c:y val="-5.066553167340572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66-41B2-8268-6FB72DFC0F32}"/>
                </c:ext>
              </c:extLst>
            </c:dLbl>
            <c:dLbl>
              <c:idx val="1"/>
              <c:layout>
                <c:manualLayout>
                  <c:x val="-0.1589549517972205"/>
                  <c:y val="-0.13963671792458604"/>
                </c:manualLayout>
              </c:layout>
              <c:spPr/>
              <c:txPr>
                <a:bodyPr/>
                <a:lstStyle/>
                <a:p>
                  <a:pPr>
                    <a:defRPr sz="1204" b="1">
                      <a:solidFill>
                        <a:schemeClr val="bg1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66-41B2-8268-6FB72DFC0F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4" b="1">
                    <a:solidFill>
                      <a:schemeClr val="tx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tr-T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Sayfa1!$A$2:$A$3</c:f>
              <c:strCache>
                <c:ptCount val="2"/>
                <c:pt idx="0">
                  <c:v>Harcanan </c:v>
                </c:pt>
                <c:pt idx="1">
                  <c:v>Kalan</c:v>
                </c:pt>
              </c:strCache>
            </c:strRef>
          </c:cat>
          <c:val>
            <c:numRef>
              <c:f>Sayfa1!$B$2:$B$3</c:f>
              <c:numCache>
                <c:formatCode>#,##0.00</c:formatCode>
                <c:ptCount val="2"/>
                <c:pt idx="0">
                  <c:v>9876360.0600000005</c:v>
                </c:pt>
                <c:pt idx="1">
                  <c:v>5071760.6499999994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66-41B2-8268-6FB72DFC0F3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1843">
          <a:noFill/>
        </a:ln>
      </c:spPr>
    </c:plotArea>
    <c:legend>
      <c:legendPos val="r"/>
      <c:layout>
        <c:manualLayout>
          <c:xMode val="edge"/>
          <c:yMode val="edge"/>
          <c:x val="0.35569671504066541"/>
          <c:y val="0.90590909469649772"/>
          <c:w val="0.34628085166484346"/>
          <c:h val="9.1069283006290691E-2"/>
        </c:manualLayout>
      </c:layout>
      <c:overlay val="0"/>
      <c:txPr>
        <a:bodyPr/>
        <a:lstStyle/>
        <a:p>
          <a:pPr>
            <a:defRPr sz="1032">
              <a:solidFill>
                <a:srgbClr val="002060"/>
              </a:solidFill>
              <a:latin typeface="Times New Roman" pitchFamily="18" charset="0"/>
              <a:cs typeface="Times New Roman" pitchFamily="18" charset="0"/>
            </a:defRPr>
          </a:pPr>
          <a:endParaRPr lang="tr-TR"/>
        </a:p>
      </c:txPr>
    </c:legend>
    <c:plotVisOnly val="1"/>
    <c:dispBlanksAs val="zero"/>
    <c:showDLblsOverMax val="0"/>
  </c:chart>
  <c:spPr>
    <a:noFill/>
    <a:ln>
      <a:noFill/>
    </a:ln>
    <a:scene3d>
      <a:camera prst="orthographicFront"/>
      <a:lightRig rig="threePt" dir="t"/>
    </a:scene3d>
    <a:sp3d>
      <a:bevelT prst="slope"/>
      <a:bevelB prst="convex"/>
    </a:sp3d>
  </c:spPr>
  <c:txPr>
    <a:bodyPr/>
    <a:lstStyle/>
    <a:p>
      <a:pPr>
        <a:defRPr sz="1548"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Diğer Gelirleri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 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0</c:v>
                </c:pt>
                <c:pt idx="1">
                  <c:v>7233.63</c:v>
                </c:pt>
                <c:pt idx="2">
                  <c:v>5478.84</c:v>
                </c:pt>
                <c:pt idx="3">
                  <c:v>3385.07</c:v>
                </c:pt>
                <c:pt idx="4">
                  <c:v>2938.9500000000012</c:v>
                </c:pt>
                <c:pt idx="5">
                  <c:v>14901.130000000006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94-49FE-99AF-A66E9BD35B35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 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14393.51</c:v>
                </c:pt>
                <c:pt idx="1">
                  <c:v>2211.9499999999998</c:v>
                </c:pt>
                <c:pt idx="2">
                  <c:v>0</c:v>
                </c:pt>
                <c:pt idx="3">
                  <c:v>0</c:v>
                </c:pt>
                <c:pt idx="4">
                  <c:v>827.68000000000052</c:v>
                </c:pt>
                <c:pt idx="5">
                  <c:v>224382.03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94-49FE-99AF-A66E9BD35B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057280"/>
        <c:axId val="37058816"/>
      </c:barChart>
      <c:catAx>
        <c:axId val="3705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7058816"/>
        <c:crosses val="autoZero"/>
        <c:auto val="1"/>
        <c:lblAlgn val="ctr"/>
        <c:lblOffset val="100"/>
        <c:noMultiLvlLbl val="0"/>
      </c:catAx>
      <c:valAx>
        <c:axId val="3705881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#,##0.00" sourceLinked="1"/>
        <c:majorTickMark val="out"/>
        <c:minorTickMark val="none"/>
        <c:tickLblPos val="none"/>
        <c:crossAx val="370572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 rtl="0"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</c:dTable>
      <c:spPr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Mali Durum Beklenti Tablosu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Sos.Güv.Kur.Dev.Pri.Gid</c:v>
                </c:pt>
                <c:pt idx="2">
                  <c:v>Mal ve Hiz.Alım Gid.</c:v>
                </c:pt>
                <c:pt idx="3">
                  <c:v>Cari Tansferler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#.##0\ "TL"</c:formatCode>
                <c:ptCount val="5"/>
                <c:pt idx="0">
                  <c:v>6702000</c:v>
                </c:pt>
                <c:pt idx="1">
                  <c:v>890000</c:v>
                </c:pt>
                <c:pt idx="2">
                  <c:v>4036000</c:v>
                </c:pt>
                <c:pt idx="3">
                  <c:v>541000</c:v>
                </c:pt>
                <c:pt idx="4">
                  <c:v>14900000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8D-4B2C-838D-4CFCF0964131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Sos.Güv.Kur.Dev.Pri.Gid</c:v>
                </c:pt>
                <c:pt idx="2">
                  <c:v>Mal ve Hiz.Alım Gid.</c:v>
                </c:pt>
                <c:pt idx="3">
                  <c:v>Cari Tansferler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#.##0\ "TL"</c:formatCode>
                <c:ptCount val="5"/>
                <c:pt idx="0">
                  <c:v>10164000</c:v>
                </c:pt>
                <c:pt idx="1">
                  <c:v>1328000</c:v>
                </c:pt>
                <c:pt idx="2">
                  <c:v>5852000</c:v>
                </c:pt>
                <c:pt idx="3">
                  <c:v>567000</c:v>
                </c:pt>
                <c:pt idx="4">
                  <c:v>19213000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8D-4B2C-838D-4CFCF09641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0944400"/>
        <c:axId val="1"/>
      </c:barChart>
      <c:catAx>
        <c:axId val="214094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7391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#.##0\ &quot;TL&quot;" sourceLinked="1"/>
        <c:majorTickMark val="none"/>
        <c:minorTickMark val="none"/>
        <c:tickLblPos val="nextTo"/>
        <c:spPr>
          <a:noFill/>
          <a:ln w="7391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  <c:crossAx val="21409444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7391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 rtl="0"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</c:dTable>
      <c:spPr>
        <a:solidFill>
          <a:schemeClr val="lt1"/>
        </a:solidFill>
        <a:ln w="19709" cap="flat" cmpd="sng" algn="ctr">
          <a:solidFill>
            <a:schemeClr val="accent3"/>
          </a:solidFill>
          <a:prstDash val="solid"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7391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Ocak-Haziran Personel Giderleri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 </c:v>
                </c:pt>
                <c:pt idx="4">
                  <c:v>Mayıs 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883284.93</c:v>
                </c:pt>
                <c:pt idx="1">
                  <c:v>657483</c:v>
                </c:pt>
                <c:pt idx="2">
                  <c:v>683742.61</c:v>
                </c:pt>
                <c:pt idx="3">
                  <c:v>758386.97</c:v>
                </c:pt>
                <c:pt idx="4">
                  <c:v>718980.21</c:v>
                </c:pt>
                <c:pt idx="5">
                  <c:v>758023.49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70-4DE8-AE5D-70CB6D3B4F29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 </c:v>
                </c:pt>
                <c:pt idx="4">
                  <c:v>Mayıs 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1164235.03</c:v>
                </c:pt>
                <c:pt idx="1">
                  <c:v>913412.73</c:v>
                </c:pt>
                <c:pt idx="2">
                  <c:v>959364.26</c:v>
                </c:pt>
                <c:pt idx="3">
                  <c:v>961494.06</c:v>
                </c:pt>
                <c:pt idx="4">
                  <c:v>937992.55</c:v>
                </c:pt>
                <c:pt idx="5">
                  <c:v>1195353.28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70-4DE8-AE5D-70CB6D3B4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16960"/>
        <c:axId val="36376576"/>
      </c:barChart>
      <c:catAx>
        <c:axId val="11461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6376576"/>
        <c:crosses val="autoZero"/>
        <c:auto val="1"/>
        <c:lblAlgn val="ctr"/>
        <c:lblOffset val="100"/>
        <c:noMultiLvlLbl val="0"/>
      </c:catAx>
      <c:valAx>
        <c:axId val="3637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#,##0.00" sourceLinked="1"/>
        <c:majorTickMark val="none"/>
        <c:minorTickMark val="none"/>
        <c:tickLblPos val="none"/>
        <c:spPr>
          <a:noFill/>
          <a:ln w="9525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  <c:crossAx val="1146169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</c:dTable>
      <c:spPr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Sosyal Güvenlik Kurumlarına Devlet Primi Giderleri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 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132715.53</c:v>
                </c:pt>
                <c:pt idx="1">
                  <c:v>93505.56</c:v>
                </c:pt>
                <c:pt idx="2">
                  <c:v>96318.83</c:v>
                </c:pt>
                <c:pt idx="3">
                  <c:v>97024.06</c:v>
                </c:pt>
                <c:pt idx="4">
                  <c:v>94678.06</c:v>
                </c:pt>
                <c:pt idx="5">
                  <c:v>96660.239999999991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7C-4F4D-9C41-01CC8627D022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 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167359.93</c:v>
                </c:pt>
                <c:pt idx="1">
                  <c:v>116637.08</c:v>
                </c:pt>
                <c:pt idx="2">
                  <c:v>116490.63</c:v>
                </c:pt>
                <c:pt idx="3">
                  <c:v>115167.48999999999</c:v>
                </c:pt>
                <c:pt idx="4">
                  <c:v>116972.18000000002</c:v>
                </c:pt>
                <c:pt idx="5">
                  <c:v>143049.47999999998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7C-4F4D-9C41-01CC8627D0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390400"/>
        <c:axId val="36391936"/>
      </c:barChart>
      <c:catAx>
        <c:axId val="3639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6391936"/>
        <c:crosses val="autoZero"/>
        <c:auto val="1"/>
        <c:lblAlgn val="ctr"/>
        <c:lblOffset val="100"/>
        <c:noMultiLvlLbl val="0"/>
      </c:catAx>
      <c:valAx>
        <c:axId val="36391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#,##0.00" sourceLinked="1"/>
        <c:majorTickMark val="none"/>
        <c:minorTickMark val="none"/>
        <c:tickLblPos val="none"/>
        <c:spPr>
          <a:noFill/>
          <a:ln w="9525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  <c:crossAx val="363904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 rtl="0"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</c:dTable>
      <c:spPr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Mal ve Hizmet Alım Giderleri</a:t>
            </a:r>
          </a:p>
        </c:rich>
      </c:tx>
      <c:layout>
        <c:manualLayout>
          <c:xMode val="edge"/>
          <c:yMode val="edge"/>
          <c:x val="0.28338145231846085"/>
          <c:y val="3.931216782955518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 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4201.88</c:v>
                </c:pt>
                <c:pt idx="1">
                  <c:v>119281.02</c:v>
                </c:pt>
                <c:pt idx="2">
                  <c:v>189475.44999999998</c:v>
                </c:pt>
                <c:pt idx="3">
                  <c:v>294729.93000000028</c:v>
                </c:pt>
                <c:pt idx="4">
                  <c:v>297111.43000000028</c:v>
                </c:pt>
                <c:pt idx="5">
                  <c:v>268000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6B-4AB0-AF43-DB0BB2C44486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 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81390</c:v>
                </c:pt>
                <c:pt idx="1">
                  <c:v>428595.09</c:v>
                </c:pt>
                <c:pt idx="2">
                  <c:v>365502.09</c:v>
                </c:pt>
                <c:pt idx="3">
                  <c:v>472778.63999999996</c:v>
                </c:pt>
                <c:pt idx="4">
                  <c:v>641044.59</c:v>
                </c:pt>
                <c:pt idx="5">
                  <c:v>576882.67999999819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6B-4AB0-AF43-DB0BB2C444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792768"/>
        <c:axId val="33794304"/>
      </c:barChart>
      <c:catAx>
        <c:axId val="3379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3794304"/>
        <c:crosses val="autoZero"/>
        <c:auto val="1"/>
        <c:lblAlgn val="ctr"/>
        <c:lblOffset val="100"/>
        <c:noMultiLvlLbl val="0"/>
      </c:catAx>
      <c:valAx>
        <c:axId val="337943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#,##0.00" sourceLinked="1"/>
        <c:majorTickMark val="out"/>
        <c:minorTickMark val="none"/>
        <c:tickLblPos val="none"/>
        <c:crossAx val="337927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 rtl="0"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</c:dTable>
      <c:spPr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Cari Transferler</a:t>
            </a:r>
          </a:p>
        </c:rich>
      </c:tx>
      <c:layout>
        <c:manualLayout>
          <c:xMode val="edge"/>
          <c:yMode val="edge"/>
          <c:x val="0.38161932728705988"/>
          <c:y val="3.578376498118459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8413094838916013E-2"/>
          <c:y val="0.13724978654776615"/>
          <c:w val="0.87809204466182245"/>
          <c:h val="0.675849856117384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0</c:v>
                </c:pt>
                <c:pt idx="1">
                  <c:v>178000</c:v>
                </c:pt>
                <c:pt idx="2">
                  <c:v>0</c:v>
                </c:pt>
                <c:pt idx="3">
                  <c:v>339255.55</c:v>
                </c:pt>
                <c:pt idx="4">
                  <c:v>1934.92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CB-46F2-8D42-1FA5265DE7C0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0</c:v>
                </c:pt>
                <c:pt idx="1">
                  <c:v>1041416.4600000004</c:v>
                </c:pt>
                <c:pt idx="2">
                  <c:v>0</c:v>
                </c:pt>
                <c:pt idx="3">
                  <c:v>88400</c:v>
                </c:pt>
                <c:pt idx="4">
                  <c:v>1819576.92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CB-46F2-8D42-1FA5265DE7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704256"/>
        <c:axId val="36705792"/>
      </c:barChart>
      <c:catAx>
        <c:axId val="3670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6705792"/>
        <c:crosses val="autoZero"/>
        <c:auto val="1"/>
        <c:lblAlgn val="ctr"/>
        <c:lblOffset val="100"/>
        <c:noMultiLvlLbl val="0"/>
      </c:catAx>
      <c:valAx>
        <c:axId val="3670579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#,##0.00" sourceLinked="1"/>
        <c:majorTickMark val="out"/>
        <c:minorTickMark val="none"/>
        <c:tickLblPos val="none"/>
        <c:crossAx val="367042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 rtl="0"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</c:dTable>
      <c:spPr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Sermaye Giderleri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0</c:v>
                </c:pt>
                <c:pt idx="1">
                  <c:v>362180.69</c:v>
                </c:pt>
                <c:pt idx="2">
                  <c:v>0</c:v>
                </c:pt>
                <c:pt idx="3">
                  <c:v>3159030.84</c:v>
                </c:pt>
                <c:pt idx="4">
                  <c:v>1799449.03</c:v>
                </c:pt>
                <c:pt idx="5">
                  <c:v>105275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D8-4278-B154-4E11F3515D06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808075.8</c:v>
                </c:pt>
                <c:pt idx="1">
                  <c:v>199193.68</c:v>
                </c:pt>
                <c:pt idx="2">
                  <c:v>333697.82</c:v>
                </c:pt>
                <c:pt idx="3">
                  <c:v>1106283.28</c:v>
                </c:pt>
                <c:pt idx="4">
                  <c:v>1027002.04</c:v>
                </c:pt>
                <c:pt idx="5">
                  <c:v>2332282.0299999998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D8-4278-B154-4E11F3515D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805632"/>
        <c:axId val="36811520"/>
      </c:barChart>
      <c:catAx>
        <c:axId val="3680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6811520"/>
        <c:crosses val="autoZero"/>
        <c:auto val="1"/>
        <c:lblAlgn val="ctr"/>
        <c:lblOffset val="100"/>
        <c:noMultiLvlLbl val="0"/>
      </c:catAx>
      <c:valAx>
        <c:axId val="36811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#,##0.00" sourceLinked="1"/>
        <c:majorTickMark val="out"/>
        <c:minorTickMark val="none"/>
        <c:tickLblPos val="none"/>
        <c:crossAx val="368056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 rtl="0"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</c:dTable>
      <c:spPr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Teşebbüs ve Mülkiyet Geliri</a:t>
            </a:r>
          </a:p>
        </c:rich>
      </c:tx>
      <c:layout>
        <c:manualLayout>
          <c:xMode val="edge"/>
          <c:yMode val="edge"/>
          <c:x val="0.30868514973408961"/>
          <c:y val="1.838598582576713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081511934901942"/>
          <c:y val="0.15753891384457241"/>
          <c:w val="0.87755262893023256"/>
          <c:h val="0.644552564036022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 </c:v>
                </c:pt>
                <c:pt idx="2">
                  <c:v>Mart</c:v>
                </c:pt>
                <c:pt idx="3">
                  <c:v>Nisan </c:v>
                </c:pt>
                <c:pt idx="4">
                  <c:v>Mayıs </c:v>
                </c:pt>
                <c:pt idx="5">
                  <c:v>Haziran 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2345.8000000000002</c:v>
                </c:pt>
                <c:pt idx="1">
                  <c:v>6657.06</c:v>
                </c:pt>
                <c:pt idx="2">
                  <c:v>162442.71000000011</c:v>
                </c:pt>
                <c:pt idx="3">
                  <c:v>33583.550000000003</c:v>
                </c:pt>
                <c:pt idx="4">
                  <c:v>222088.26</c:v>
                </c:pt>
                <c:pt idx="5">
                  <c:v>35416.629999999997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45-4BAE-A4B0-B2E7853821B9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 </c:v>
                </c:pt>
                <c:pt idx="2">
                  <c:v>Mart</c:v>
                </c:pt>
                <c:pt idx="3">
                  <c:v>Nisan </c:v>
                </c:pt>
                <c:pt idx="4">
                  <c:v>Mayıs </c:v>
                </c:pt>
                <c:pt idx="5">
                  <c:v>Haziran 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6041.05</c:v>
                </c:pt>
                <c:pt idx="1">
                  <c:v>16807.89</c:v>
                </c:pt>
                <c:pt idx="2">
                  <c:v>430702.59</c:v>
                </c:pt>
                <c:pt idx="3">
                  <c:v>83668</c:v>
                </c:pt>
                <c:pt idx="4">
                  <c:v>37330.75</c:v>
                </c:pt>
                <c:pt idx="5">
                  <c:v>109607.75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45-4BAE-A4B0-B2E785382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886784"/>
        <c:axId val="36888576"/>
      </c:barChart>
      <c:catAx>
        <c:axId val="36886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6888576"/>
        <c:crosses val="autoZero"/>
        <c:auto val="1"/>
        <c:lblAlgn val="ctr"/>
        <c:lblOffset val="100"/>
        <c:noMultiLvlLbl val="0"/>
      </c:catAx>
      <c:valAx>
        <c:axId val="3688857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#,##0.00" sourceLinked="1"/>
        <c:majorTickMark val="out"/>
        <c:minorTickMark val="none"/>
        <c:tickLblPos val="none"/>
        <c:crossAx val="368867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 rtl="0"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</c:dTable>
      <c:spPr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Alınan Bağış ve Yardımlar ile Özel Gelirler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 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400000</c:v>
                </c:pt>
                <c:pt idx="1">
                  <c:v>400000</c:v>
                </c:pt>
                <c:pt idx="2">
                  <c:v>4858960.0200000005</c:v>
                </c:pt>
                <c:pt idx="3">
                  <c:v>718863.48</c:v>
                </c:pt>
                <c:pt idx="4">
                  <c:v>577366.04</c:v>
                </c:pt>
                <c:pt idx="5">
                  <c:v>3068835.42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FF-4431-801A-575470044397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 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3000000</c:v>
                </c:pt>
                <c:pt idx="1">
                  <c:v>3710511.18</c:v>
                </c:pt>
                <c:pt idx="2">
                  <c:v>0</c:v>
                </c:pt>
                <c:pt idx="3">
                  <c:v>0</c:v>
                </c:pt>
                <c:pt idx="4">
                  <c:v>2018826.92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FF-4431-801A-5754700443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931072"/>
        <c:axId val="36932608"/>
      </c:barChart>
      <c:catAx>
        <c:axId val="3693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6932608"/>
        <c:crosses val="autoZero"/>
        <c:auto val="1"/>
        <c:lblAlgn val="ctr"/>
        <c:lblOffset val="100"/>
        <c:noMultiLvlLbl val="0"/>
      </c:catAx>
      <c:valAx>
        <c:axId val="369326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#,##0.00" sourceLinked="1"/>
        <c:majorTickMark val="out"/>
        <c:minorTickMark val="none"/>
        <c:tickLblPos val="none"/>
        <c:crossAx val="369310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accent3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 rtl="0"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</c:dTable>
      <c:spPr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Famil2</cp:lastModifiedBy>
  <cp:revision>2</cp:revision>
  <cp:lastPrinted>2012-07-30T10:59:00Z</cp:lastPrinted>
  <dcterms:created xsi:type="dcterms:W3CDTF">2023-10-09T11:32:00Z</dcterms:created>
  <dcterms:modified xsi:type="dcterms:W3CDTF">2023-10-09T11:32:00Z</dcterms:modified>
</cp:coreProperties>
</file>